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230" w:rsidRDefault="00632230" w:rsidP="00D95DA6">
      <w:pPr>
        <w:jc w:val="center"/>
        <w:rPr>
          <w:b/>
        </w:rPr>
      </w:pPr>
    </w:p>
    <w:p w:rsidR="00A02814" w:rsidRPr="00632230" w:rsidRDefault="00D95DA6" w:rsidP="00D95DA6">
      <w:pPr>
        <w:jc w:val="center"/>
        <w:rPr>
          <w:b/>
        </w:rPr>
      </w:pPr>
      <w:r w:rsidRPr="00632230">
        <w:rPr>
          <w:b/>
        </w:rPr>
        <w:t xml:space="preserve">PARECER </w:t>
      </w:r>
    </w:p>
    <w:p w:rsidR="00A02814" w:rsidRPr="00B56389" w:rsidRDefault="00A02814" w:rsidP="00A02814">
      <w:pPr>
        <w:jc w:val="both"/>
        <w:rPr>
          <w:b/>
        </w:rPr>
      </w:pPr>
      <w:r w:rsidRPr="00B56389">
        <w:rPr>
          <w:b/>
        </w:rPr>
        <w:t xml:space="preserve">ASSUNTO: Deliberação sobre </w:t>
      </w:r>
      <w:r w:rsidR="00305C01" w:rsidRPr="00B56389">
        <w:rPr>
          <w:b/>
        </w:rPr>
        <w:t xml:space="preserve">proposta de </w:t>
      </w:r>
      <w:r w:rsidRPr="00B56389">
        <w:rPr>
          <w:b/>
        </w:rPr>
        <w:t>Resolução que aprova novos valores para os PUB´s da cobrança pelo uso de recursos hídricos de domínio da União da Bacia  Hidrográfica  dos  Rios  Piracicaba,  Capivari  e  Jundiaí,  encaminhada pela Câmara Técnica de Cobrança pelo Uso de Recursos Hídricos – CTCOB</w:t>
      </w:r>
    </w:p>
    <w:p w:rsidR="00A02814" w:rsidRPr="00632230" w:rsidRDefault="00A02814" w:rsidP="00A02814">
      <w:pPr>
        <w:jc w:val="both"/>
        <w:rPr>
          <w:b/>
          <w:u w:val="single"/>
        </w:rPr>
      </w:pPr>
      <w:r w:rsidRPr="00632230">
        <w:rPr>
          <w:b/>
          <w:u w:val="single"/>
        </w:rPr>
        <w:t xml:space="preserve">IMPUGNAÇÃO - QUANTO ÀS ALEGAÇÕES DE EXISTÊNCIA DE “VÍCIOS FORMAIS” DA TRAMITAÇÃO DO PROCESSO </w:t>
      </w:r>
      <w:r w:rsidR="00B56389" w:rsidRPr="00632230">
        <w:rPr>
          <w:b/>
          <w:u w:val="single"/>
        </w:rPr>
        <w:t xml:space="preserve">SUSCITADO NA </w:t>
      </w:r>
      <w:r w:rsidR="00F55C22" w:rsidRPr="00632230">
        <w:rPr>
          <w:b/>
          <w:u w:val="single"/>
        </w:rPr>
        <w:t xml:space="preserve">XXX </w:t>
      </w:r>
      <w:r w:rsidR="00B56389" w:rsidRPr="00632230">
        <w:rPr>
          <w:b/>
          <w:u w:val="single"/>
        </w:rPr>
        <w:t xml:space="preserve">REUNIÃO </w:t>
      </w:r>
      <w:r w:rsidR="00F55C22" w:rsidRPr="00632230">
        <w:rPr>
          <w:b/>
          <w:u w:val="single"/>
        </w:rPr>
        <w:t xml:space="preserve">ORDINÁRIA DO </w:t>
      </w:r>
      <w:r w:rsidRPr="00632230">
        <w:rPr>
          <w:b/>
          <w:u w:val="single"/>
        </w:rPr>
        <w:t xml:space="preserve">CNRH  </w:t>
      </w:r>
    </w:p>
    <w:p w:rsidR="00A02814" w:rsidRDefault="00A02814" w:rsidP="00A02814">
      <w:pPr>
        <w:jc w:val="right"/>
      </w:pPr>
    </w:p>
    <w:p w:rsidR="00A02814" w:rsidRPr="00305C01" w:rsidRDefault="00A02814" w:rsidP="00A02814">
      <w:pPr>
        <w:jc w:val="right"/>
        <w:rPr>
          <w:b/>
        </w:rPr>
      </w:pPr>
      <w:r w:rsidRPr="00305C01">
        <w:rPr>
          <w:b/>
        </w:rPr>
        <w:t xml:space="preserve">DAS ALEGAÇÕES APRESENTADAS NA JUSTIFICATIVA DE FLS. </w:t>
      </w:r>
    </w:p>
    <w:p w:rsidR="00A02814" w:rsidRDefault="00A02814" w:rsidP="00A02814">
      <w:pPr>
        <w:jc w:val="both"/>
      </w:pPr>
    </w:p>
    <w:p w:rsidR="00A02814" w:rsidRDefault="002A223E" w:rsidP="00632230">
      <w:pPr>
        <w:ind w:firstLine="708"/>
        <w:jc w:val="both"/>
      </w:pPr>
      <w:r>
        <w:t>Consta liminarmente do bojo da referida Justificativa apresentada nos autos do processo instaurado, a alegação de que os</w:t>
      </w:r>
      <w:r w:rsidR="00A02814">
        <w:t xml:space="preserve"> procedimentos </w:t>
      </w:r>
      <w:r w:rsidR="00B347FC">
        <w:t xml:space="preserve">estabelecidos </w:t>
      </w:r>
      <w:r w:rsidR="00A02814">
        <w:t>pelo  Regimento Interno do C</w:t>
      </w:r>
      <w:r w:rsidR="00B347FC">
        <w:t>NRH</w:t>
      </w:r>
      <w:r w:rsidR="00A02814">
        <w:t xml:space="preserve"> não foram obedecidos para apreciação da matéria pela Plenária. </w:t>
      </w:r>
    </w:p>
    <w:p w:rsidR="0046291D" w:rsidRDefault="0046291D" w:rsidP="00632230">
      <w:pPr>
        <w:ind w:firstLine="708"/>
        <w:jc w:val="both"/>
      </w:pPr>
      <w:r>
        <w:t>Sob esse fundamento, é utilizado como embasamento, o argumento de que não foram atendidos os requisitos legais estabelecidos no “novo”  Regimento Interno do CNRH.</w:t>
      </w:r>
    </w:p>
    <w:p w:rsidR="0046291D" w:rsidRPr="00914CAF" w:rsidRDefault="0046291D" w:rsidP="00632230">
      <w:pPr>
        <w:ind w:firstLine="708"/>
        <w:jc w:val="both"/>
        <w:rPr>
          <w:i/>
        </w:rPr>
      </w:pPr>
      <w:r>
        <w:t xml:space="preserve">Nesse sentido, é deduzido que, o </w:t>
      </w:r>
      <w:r w:rsidR="00A02814">
        <w:t>§</w:t>
      </w:r>
      <w:r w:rsidR="00D1263D">
        <w:t xml:space="preserve"> </w:t>
      </w:r>
      <w:r w:rsidR="00A02814">
        <w:t xml:space="preserve">4º  do  art.  10  estabelece  que  a  proposta  de deliberação  esteja </w:t>
      </w:r>
      <w:r w:rsidR="00A02814" w:rsidRPr="00914CAF">
        <w:rPr>
          <w:i/>
        </w:rPr>
        <w:t>“acompanhada  do  respectivo  parecer  técnico”para então ser “submetida à apreciação da Câmara Técnica de Assuntos Legais e Institucionais – CTIL”</w:t>
      </w:r>
      <w:r w:rsidRPr="00914CAF">
        <w:rPr>
          <w:i/>
        </w:rPr>
        <w:t>.</w:t>
      </w:r>
    </w:p>
    <w:p w:rsidR="00A02814" w:rsidRDefault="0046291D" w:rsidP="00632230">
      <w:pPr>
        <w:ind w:firstLine="708"/>
        <w:jc w:val="both"/>
      </w:pPr>
      <w:r>
        <w:t>Susten</w:t>
      </w:r>
      <w:r w:rsidR="00B347FC">
        <w:t xml:space="preserve">ta que o referido procedimento </w:t>
      </w:r>
      <w:r w:rsidR="00A02814">
        <w:t xml:space="preserve">não </w:t>
      </w:r>
      <w:r>
        <w:t>teria sido</w:t>
      </w:r>
      <w:r w:rsidR="00A02814">
        <w:t xml:space="preserve"> observado  pela  Secretaria  Executiva  do  CNRH  na tramitação da referida matéria</w:t>
      </w:r>
      <w:r>
        <w:t>, motivo pelo qual, estaria o procedimento eivado de vício formal</w:t>
      </w:r>
      <w:r w:rsidR="00A02814">
        <w:t xml:space="preserve">. </w:t>
      </w:r>
    </w:p>
    <w:p w:rsidR="0046291D" w:rsidRDefault="00A02814" w:rsidP="00632230">
      <w:pPr>
        <w:ind w:firstLine="708"/>
        <w:jc w:val="both"/>
      </w:pPr>
      <w:r>
        <w:t>Em razão</w:t>
      </w:r>
      <w:r w:rsidR="0046291D">
        <w:t xml:space="preserve"> de tal suscitação, no curso da reunião  do CNRH de 17/12/2013, foi aberta discussão sobre o tema, inclusive tendo o Sr. Conselheiro Julio Tadeu Kettelhut, Presidente da CTIL, e</w:t>
      </w:r>
      <w:r>
        <w:t xml:space="preserve">m resposta à indagação do Conselheiro Ivo Mello, </w:t>
      </w:r>
      <w:r w:rsidR="0046291D">
        <w:t xml:space="preserve">esclarecido </w:t>
      </w:r>
      <w:r>
        <w:t xml:space="preserve"> que a manifestação da CTCOB</w:t>
      </w:r>
      <w:r w:rsidR="0046291D">
        <w:t>, exigida pelo art. 10 do “novo</w:t>
      </w:r>
      <w:r w:rsidR="00914CAF">
        <w:t>”</w:t>
      </w:r>
      <w:r w:rsidR="0046291D">
        <w:t xml:space="preserve"> Regimento Interno, </w:t>
      </w:r>
      <w:r>
        <w:t>dera-se antes da publicação do “novo” Regimento Interno e, portanto, esta não estava obrigada a</w:t>
      </w:r>
      <w:r w:rsidR="0046291D">
        <w:t xml:space="preserve"> </w:t>
      </w:r>
      <w:r>
        <w:t xml:space="preserve"> cumpri-lo. </w:t>
      </w:r>
    </w:p>
    <w:p w:rsidR="00B347FC" w:rsidRDefault="0046291D" w:rsidP="00674454">
      <w:pPr>
        <w:ind w:firstLine="708"/>
        <w:jc w:val="both"/>
      </w:pPr>
      <w:r>
        <w:t xml:space="preserve">Com efeito, </w:t>
      </w:r>
      <w:r w:rsidR="00467D98">
        <w:t xml:space="preserve">ao contrário do que </w:t>
      </w:r>
      <w:r>
        <w:t>é afirmado equivocadamente na presente Justificativa ora impugnada</w:t>
      </w:r>
      <w:r w:rsidR="00467D98">
        <w:t xml:space="preserve">, </w:t>
      </w:r>
      <w:r w:rsidR="00B347FC">
        <w:t>a</w:t>
      </w:r>
      <w:r w:rsidR="00467D98">
        <w:t xml:space="preserve"> </w:t>
      </w:r>
      <w:r w:rsidR="00B347FC">
        <w:t xml:space="preserve">observância </w:t>
      </w:r>
      <w:r w:rsidR="00467D98">
        <w:t>das exigências contidas no bojo da “novo” Regimento Interno</w:t>
      </w:r>
      <w:r w:rsidR="00A02814">
        <w:t xml:space="preserve"> não se aplica </w:t>
      </w:r>
      <w:r w:rsidR="00467D98">
        <w:t xml:space="preserve">ao caso em tela, </w:t>
      </w:r>
      <w:r w:rsidR="00A02814">
        <w:t xml:space="preserve"> uma vez que</w:t>
      </w:r>
      <w:r w:rsidR="00467D98">
        <w:t xml:space="preserve"> a reunião da CTCOB, que considerou por encerradas as discussões sobre a matéria e deliberou pelo encaminhamento à apreciação da CTIL, </w:t>
      </w:r>
      <w:r w:rsidR="00A02814">
        <w:t xml:space="preserve"> ocorreu</w:t>
      </w:r>
      <w:r w:rsidR="00467D98">
        <w:t xml:space="preserve"> em 24/10/2013, e, portanto, antes da sua “formal” entrada em vigor, que somente ocorreu em 11/11/2013.</w:t>
      </w:r>
    </w:p>
    <w:p w:rsidR="00B347FC" w:rsidRDefault="00467D98" w:rsidP="00632230">
      <w:pPr>
        <w:ind w:firstLine="708"/>
        <w:jc w:val="both"/>
      </w:pPr>
      <w:r>
        <w:t xml:space="preserve">Da mesma forma, as exigências e inovações trazidas </w:t>
      </w:r>
      <w:r w:rsidR="0024307B">
        <w:t xml:space="preserve">na Resolução nº 437, publicada em 11/11/2013, não possuem o condão de afetar </w:t>
      </w:r>
      <w:r w:rsidR="00B347FC">
        <w:t>todo o conteúdo objeto de deliberação da</w:t>
      </w:r>
      <w:r w:rsidR="0024307B">
        <w:t xml:space="preserve"> </w:t>
      </w:r>
      <w:r>
        <w:t>própria</w:t>
      </w:r>
      <w:r w:rsidR="0024307B">
        <w:t xml:space="preserve"> reunião da</w:t>
      </w:r>
      <w:r>
        <w:t xml:space="preserve"> CTIL</w:t>
      </w:r>
      <w:r w:rsidR="0024307B">
        <w:t xml:space="preserve">, </w:t>
      </w:r>
      <w:r w:rsidR="00B347FC">
        <w:t xml:space="preserve">iniciada no dia </w:t>
      </w:r>
      <w:r w:rsidR="00A02814">
        <w:t>11 e</w:t>
      </w:r>
      <w:r w:rsidR="00B347FC">
        <w:t xml:space="preserve"> finalizada em</w:t>
      </w:r>
      <w:r w:rsidR="00A02814">
        <w:t xml:space="preserve"> 12 de novembro de  2013, ou  seja, </w:t>
      </w:r>
      <w:r w:rsidR="00B347FC">
        <w:t>afetariam apenas os atos posteriores a essa data, produzidos a partir de 12/11/2013.</w:t>
      </w:r>
    </w:p>
    <w:p w:rsidR="0024307B" w:rsidRDefault="0024307B" w:rsidP="00632230">
      <w:pPr>
        <w:ind w:firstLine="708"/>
        <w:jc w:val="both"/>
      </w:pPr>
      <w:r>
        <w:lastRenderedPageBreak/>
        <w:t xml:space="preserve">Como se afere do conteúdo do Regimento Interno nº 437/2013, o mesmo passou a produzir efeitos vinculantes aos processos administrativos em andamento a partir da sua entrada em vigor, o que só ocorreu </w:t>
      </w:r>
      <w:r w:rsidR="00B347FC">
        <w:t xml:space="preserve">a partir do dia </w:t>
      </w:r>
      <w:r w:rsidR="00CD430E">
        <w:t>subseqüente</w:t>
      </w:r>
      <w:r w:rsidR="00B347FC">
        <w:t xml:space="preserve"> à </w:t>
      </w:r>
      <w:r>
        <w:t>data de sua publicação,</w:t>
      </w:r>
      <w:r w:rsidR="00CD430E">
        <w:t xml:space="preserve"> conforme disposições contidas na Lei Complementar 95/98,</w:t>
      </w:r>
      <w:r>
        <w:t xml:space="preserve"> ou seja, 1</w:t>
      </w:r>
      <w:r w:rsidR="00CD430E">
        <w:t>2</w:t>
      </w:r>
      <w:r>
        <w:t>/11/2013, data a partir da qual estariam revogados os termos da Portaria 377/2003, que dispunha sobre o Regimento Interno anterior:</w:t>
      </w:r>
    </w:p>
    <w:p w:rsidR="0024307B" w:rsidRPr="0024307B" w:rsidRDefault="0024307B" w:rsidP="00305C01">
      <w:pPr>
        <w:shd w:val="clear" w:color="auto" w:fill="FFFFFF"/>
        <w:spacing w:before="100" w:beforeAutospacing="1" w:after="100" w:afterAutospacing="1" w:line="240" w:lineRule="auto"/>
        <w:ind w:left="1134"/>
        <w:jc w:val="both"/>
        <w:rPr>
          <w:rFonts w:ascii="Times New Roman" w:eastAsia="Times New Roman" w:hAnsi="Times New Roman" w:cs="Times New Roman"/>
          <w:i/>
          <w:color w:val="000000"/>
          <w:sz w:val="24"/>
          <w:szCs w:val="24"/>
          <w:lang w:eastAsia="pt-BR"/>
        </w:rPr>
      </w:pPr>
      <w:r w:rsidRPr="0024307B">
        <w:rPr>
          <w:rFonts w:ascii="Times New Roman" w:eastAsia="Times New Roman" w:hAnsi="Times New Roman" w:cs="Times New Roman"/>
          <w:i/>
          <w:color w:val="000000"/>
          <w:sz w:val="24"/>
          <w:szCs w:val="24"/>
          <w:lang w:eastAsia="pt-BR"/>
        </w:rPr>
        <w:t>“Art. 2</w:t>
      </w:r>
      <w:r w:rsidRPr="0024307B">
        <w:rPr>
          <w:rFonts w:ascii="Times New Roman" w:eastAsia="Times New Roman" w:hAnsi="Times New Roman" w:cs="Times New Roman"/>
          <w:i/>
          <w:color w:val="000000"/>
          <w:sz w:val="24"/>
          <w:szCs w:val="24"/>
          <w:vertAlign w:val="superscript"/>
          <w:lang w:eastAsia="pt-BR"/>
        </w:rPr>
        <w:t>o</w:t>
      </w:r>
      <w:r w:rsidRPr="0024307B">
        <w:rPr>
          <w:rFonts w:ascii="Times New Roman" w:eastAsia="Times New Roman" w:hAnsi="Times New Roman" w:cs="Times New Roman"/>
          <w:i/>
          <w:color w:val="000000"/>
          <w:sz w:val="24"/>
          <w:szCs w:val="24"/>
          <w:lang w:eastAsia="pt-BR"/>
        </w:rPr>
        <w:t> Esta Portaria entra em vigor na data de sua publicação.</w:t>
      </w:r>
    </w:p>
    <w:p w:rsidR="0024307B" w:rsidRPr="0024307B" w:rsidRDefault="0024307B" w:rsidP="00305C01">
      <w:pPr>
        <w:shd w:val="clear" w:color="auto" w:fill="FFFFFF"/>
        <w:spacing w:before="100" w:beforeAutospacing="1" w:after="100" w:afterAutospacing="1" w:line="240" w:lineRule="auto"/>
        <w:ind w:left="1134"/>
        <w:jc w:val="both"/>
        <w:rPr>
          <w:rFonts w:ascii="Times New Roman" w:eastAsia="Times New Roman" w:hAnsi="Times New Roman" w:cs="Times New Roman"/>
          <w:i/>
          <w:color w:val="000000"/>
          <w:sz w:val="24"/>
          <w:szCs w:val="24"/>
          <w:lang w:eastAsia="pt-BR"/>
        </w:rPr>
      </w:pPr>
      <w:r w:rsidRPr="0024307B">
        <w:rPr>
          <w:rFonts w:ascii="Times New Roman" w:eastAsia="Times New Roman" w:hAnsi="Times New Roman" w:cs="Times New Roman"/>
          <w:i/>
          <w:color w:val="000000"/>
          <w:sz w:val="24"/>
          <w:szCs w:val="24"/>
          <w:lang w:eastAsia="pt-BR"/>
        </w:rPr>
        <w:t>Art. 3º Fica revogada a Portaria nº 377, de 19 de setembro de 2003.”</w:t>
      </w:r>
    </w:p>
    <w:p w:rsidR="00C63863" w:rsidRDefault="00467D98" w:rsidP="0024307B">
      <w:pPr>
        <w:jc w:val="both"/>
      </w:pPr>
      <w:r>
        <w:t xml:space="preserve"> </w:t>
      </w:r>
    </w:p>
    <w:p w:rsidR="00C63863" w:rsidRPr="00B56389" w:rsidRDefault="00C63863" w:rsidP="005960EC">
      <w:pPr>
        <w:ind w:left="3402"/>
        <w:jc w:val="both"/>
        <w:rPr>
          <w:b/>
        </w:rPr>
      </w:pPr>
      <w:r w:rsidRPr="00B56389">
        <w:rPr>
          <w:b/>
        </w:rPr>
        <w:t>D</w:t>
      </w:r>
      <w:r w:rsidR="005960EC" w:rsidRPr="00B56389">
        <w:rPr>
          <w:b/>
        </w:rPr>
        <w:t>O</w:t>
      </w:r>
      <w:r w:rsidRPr="00B56389">
        <w:rPr>
          <w:b/>
        </w:rPr>
        <w:t xml:space="preserve">S FATOS – </w:t>
      </w:r>
      <w:r w:rsidR="000C17F2" w:rsidRPr="00B56389">
        <w:rPr>
          <w:b/>
        </w:rPr>
        <w:t>ATENDIMENTO A TODOS OS PRESS</w:t>
      </w:r>
      <w:r w:rsidR="0013587F">
        <w:rPr>
          <w:b/>
        </w:rPr>
        <w:t>U</w:t>
      </w:r>
      <w:r w:rsidR="000C17F2" w:rsidRPr="00B56389">
        <w:rPr>
          <w:b/>
        </w:rPr>
        <w:t>POSTOS CON</w:t>
      </w:r>
      <w:r w:rsidR="0013587F">
        <w:rPr>
          <w:b/>
        </w:rPr>
        <w:t>S</w:t>
      </w:r>
      <w:r w:rsidR="000C17F2" w:rsidRPr="00B56389">
        <w:rPr>
          <w:b/>
        </w:rPr>
        <w:t xml:space="preserve">TANTES DO </w:t>
      </w:r>
      <w:r w:rsidRPr="00B56389">
        <w:rPr>
          <w:b/>
        </w:rPr>
        <w:t>REGIMENTO INTERNO ANTERIOR</w:t>
      </w:r>
      <w:r w:rsidR="000C17F2" w:rsidRPr="00B56389">
        <w:rPr>
          <w:b/>
        </w:rPr>
        <w:t xml:space="preserve"> QUE</w:t>
      </w:r>
      <w:r w:rsidRPr="00B56389">
        <w:rPr>
          <w:b/>
        </w:rPr>
        <w:t xml:space="preserve"> </w:t>
      </w:r>
      <w:r w:rsidR="000C17F2" w:rsidRPr="00B56389">
        <w:rPr>
          <w:b/>
        </w:rPr>
        <w:t>ESTAVA EM PLENO VIGOR DURANTE A REUNIÃO DA CTCOB, QUE DELIBEROU PELO ENCAMINHAMENTO DA PROPOSTA E SUBMISSÃO A CTIL</w:t>
      </w:r>
      <w:r w:rsidR="0013587F">
        <w:rPr>
          <w:b/>
        </w:rPr>
        <w:t xml:space="preserve">, QUE, </w:t>
      </w:r>
      <w:r w:rsidR="000C17F2" w:rsidRPr="00B56389">
        <w:rPr>
          <w:b/>
        </w:rPr>
        <w:t xml:space="preserve"> EM REUNIÃO REALIZADA EM </w:t>
      </w:r>
      <w:r w:rsidR="005960EC" w:rsidRPr="00B56389">
        <w:rPr>
          <w:b/>
        </w:rPr>
        <w:t>11 E 12 DE NOVEMBRO</w:t>
      </w:r>
      <w:r w:rsidR="0013587F">
        <w:rPr>
          <w:b/>
        </w:rPr>
        <w:t xml:space="preserve"> APROVOU OS TERMOS DA MESMA ENCAMINHANDO PARA A REUNIÃO ORDINÁRIA DO CNRH DE 17/12/2013  </w:t>
      </w:r>
    </w:p>
    <w:p w:rsidR="0013587F" w:rsidRDefault="0013587F" w:rsidP="00A02814">
      <w:pPr>
        <w:jc w:val="both"/>
      </w:pPr>
    </w:p>
    <w:p w:rsidR="005960EC" w:rsidRDefault="00A02814" w:rsidP="00632230">
      <w:pPr>
        <w:ind w:firstLine="708"/>
        <w:jc w:val="both"/>
      </w:pPr>
      <w:r>
        <w:t>Insta</w:t>
      </w:r>
      <w:r w:rsidR="00C63863">
        <w:t xml:space="preserve"> destacar, sobre o </w:t>
      </w:r>
      <w:r w:rsidR="005960EC">
        <w:t xml:space="preserve">tema em debate, </w:t>
      </w:r>
      <w:r w:rsidR="0024307B">
        <w:t xml:space="preserve">pois, </w:t>
      </w:r>
      <w:r w:rsidR="005960EC">
        <w:t>que o Regimento Interno anterior</w:t>
      </w:r>
      <w:r w:rsidR="0024307B">
        <w:t xml:space="preserve"> do CNRH</w:t>
      </w:r>
      <w:r w:rsidR="0013587F">
        <w:t xml:space="preserve"> (Portaria 377/2003),</w:t>
      </w:r>
      <w:r w:rsidR="005960EC">
        <w:t xml:space="preserve"> permaneceu em vigor até </w:t>
      </w:r>
      <w:r w:rsidR="0024307B">
        <w:t>o início da</w:t>
      </w:r>
      <w:r w:rsidR="005960EC">
        <w:t xml:space="preserve"> reunião realizada pela CTIL entre os dias 11 e 12 de novembro de 2013.</w:t>
      </w:r>
    </w:p>
    <w:p w:rsidR="00A02814" w:rsidRDefault="0024307B" w:rsidP="00632230">
      <w:pPr>
        <w:ind w:firstLine="708"/>
        <w:jc w:val="both"/>
      </w:pPr>
      <w:r>
        <w:t>Como já argumentado, o</w:t>
      </w:r>
      <w:r w:rsidR="005960EC">
        <w:t xml:space="preserve"> texto do novo Regimento Interno do CNRH,</w:t>
      </w:r>
      <w:r w:rsidR="005E63D8">
        <w:t xml:space="preserve"> foi publicado em </w:t>
      </w:r>
      <w:r>
        <w:t>11/11/2013</w:t>
      </w:r>
      <w:r w:rsidR="005E63D8">
        <w:t xml:space="preserve">, não havendo portanto, como suas disposições retroagirem e alcançarem </w:t>
      </w:r>
      <w:r>
        <w:t>os fatos anteriores a referida data, nem mesmo quanto ao conteúdo e processamento da</w:t>
      </w:r>
      <w:r w:rsidR="005E63D8">
        <w:t xml:space="preserve"> reunião </w:t>
      </w:r>
      <w:r>
        <w:t>iniciada no dia 11 de novembro.</w:t>
      </w:r>
      <w:r w:rsidR="005E63D8">
        <w:t xml:space="preserve"> </w:t>
      </w:r>
    </w:p>
    <w:p w:rsidR="00305C01" w:rsidRPr="00305C01" w:rsidRDefault="000A053E" w:rsidP="00632230">
      <w:pPr>
        <w:ind w:firstLine="708"/>
        <w:jc w:val="both"/>
        <w:rPr>
          <w:color w:val="000000" w:themeColor="text1"/>
        </w:rPr>
      </w:pPr>
      <w:r>
        <w:t>Como inclusive foi objeto de sustentação na Justificativa de vistas, “</w:t>
      </w:r>
      <w:r w:rsidR="00A02814" w:rsidRPr="0024307B">
        <w:rPr>
          <w:i/>
        </w:rPr>
        <w:t>Em  um  Estado  de  Direito,  há  que  se  respeitar  as normas  em  seus  diferentes  graus  de  hierarquia.</w:t>
      </w:r>
      <w:r w:rsidR="00305C01">
        <w:rPr>
          <w:i/>
        </w:rPr>
        <w:t xml:space="preserve">, </w:t>
      </w:r>
      <w:r w:rsidR="00305C01" w:rsidRPr="00305C01">
        <w:t>motivo pelo qual</w:t>
      </w:r>
      <w:r w:rsidR="00305C01">
        <w:rPr>
          <w:i/>
        </w:rPr>
        <w:t xml:space="preserve">, </w:t>
      </w:r>
      <w:r w:rsidR="00305C01" w:rsidRPr="00305C01">
        <w:t xml:space="preserve">a admissão </w:t>
      </w:r>
      <w:r w:rsidR="00305C01">
        <w:t xml:space="preserve">desse retrocesso ilegal da legislação nova fere brutalmente as normas constantes em nosso sistema, especialmente em se tratando de ato já consumado em relação ao qual foi aplicada a legislação vigente à época do fato, como o reza o princípio de que o </w:t>
      </w:r>
      <w:r w:rsidR="00305C01" w:rsidRPr="00CD430E">
        <w:rPr>
          <w:b/>
          <w:u w:val="single"/>
        </w:rPr>
        <w:t>“o tempo rege a ato</w:t>
      </w:r>
      <w:r w:rsidR="00305C01">
        <w:t xml:space="preserve">”, nos termos contidos na </w:t>
      </w:r>
      <w:r w:rsidR="00305C01" w:rsidRPr="00305C01">
        <w:rPr>
          <w:color w:val="000000" w:themeColor="text1"/>
        </w:rPr>
        <w:t xml:space="preserve">Lei </w:t>
      </w:r>
      <w:r w:rsidR="00305C01" w:rsidRPr="00305C01">
        <w:rPr>
          <w:rFonts w:ascii="Arial" w:hAnsi="Arial" w:cs="Arial"/>
          <w:color w:val="000000" w:themeColor="text1"/>
          <w:sz w:val="21"/>
          <w:szCs w:val="21"/>
          <w:shd w:val="clear" w:color="auto" w:fill="FFFFFF"/>
        </w:rPr>
        <w:t xml:space="preserve">de Introdução </w:t>
      </w:r>
      <w:r w:rsidR="00305C01">
        <w:rPr>
          <w:rFonts w:ascii="Arial" w:hAnsi="Arial" w:cs="Arial"/>
          <w:color w:val="000000" w:themeColor="text1"/>
          <w:sz w:val="21"/>
          <w:szCs w:val="21"/>
          <w:shd w:val="clear" w:color="auto" w:fill="FFFFFF"/>
        </w:rPr>
        <w:t>às normas do Direito Brasileiro</w:t>
      </w:r>
      <w:r w:rsidR="00305C01" w:rsidRPr="00305C01">
        <w:rPr>
          <w:rFonts w:ascii="Arial" w:hAnsi="Arial" w:cs="Arial"/>
          <w:color w:val="000000" w:themeColor="text1"/>
          <w:sz w:val="21"/>
          <w:szCs w:val="21"/>
          <w:shd w:val="clear" w:color="auto" w:fill="FFFFFF"/>
        </w:rPr>
        <w:t> </w:t>
      </w:r>
      <w:r w:rsidR="00305C01" w:rsidRPr="00305C01">
        <w:rPr>
          <w:color w:val="000000" w:themeColor="text1"/>
        </w:rPr>
        <w:t xml:space="preserve"> </w:t>
      </w:r>
      <w:hyperlink r:id="rId7" w:anchor="art2" w:history="1">
        <w:r w:rsidR="00305C01" w:rsidRPr="00305C01">
          <w:rPr>
            <w:rStyle w:val="Hyperlink"/>
            <w:rFonts w:ascii="Arial" w:hAnsi="Arial" w:cs="Arial"/>
            <w:color w:val="000000" w:themeColor="text1"/>
            <w:sz w:val="21"/>
            <w:szCs w:val="21"/>
            <w:shd w:val="clear" w:color="auto" w:fill="FFFFFF"/>
          </w:rPr>
          <w:t>(Redação dada pela Lei nº 12.376, de 2010</w:t>
        </w:r>
      </w:hyperlink>
      <w:r w:rsidR="00305C01">
        <w:rPr>
          <w:color w:val="000000" w:themeColor="text1"/>
        </w:rPr>
        <w:t>:</w:t>
      </w:r>
      <w:r w:rsidR="00305C01" w:rsidRPr="00305C01">
        <w:rPr>
          <w:color w:val="000000" w:themeColor="text1"/>
        </w:rPr>
        <w:t xml:space="preserve"> </w:t>
      </w:r>
    </w:p>
    <w:p w:rsidR="00305C01" w:rsidRDefault="00305C01" w:rsidP="00A02814">
      <w:pPr>
        <w:jc w:val="both"/>
      </w:pPr>
    </w:p>
    <w:p w:rsidR="00305C01" w:rsidRPr="00305C01" w:rsidRDefault="00305C01" w:rsidP="00305C01">
      <w:pPr>
        <w:pStyle w:val="NormalWeb"/>
        <w:tabs>
          <w:tab w:val="left" w:pos="993"/>
        </w:tabs>
        <w:ind w:left="1134"/>
        <w:rPr>
          <w:i/>
          <w:color w:val="000000"/>
          <w:sz w:val="27"/>
          <w:szCs w:val="27"/>
        </w:rPr>
      </w:pPr>
      <w:r>
        <w:rPr>
          <w:rFonts w:ascii="Arial" w:hAnsi="Arial" w:cs="Arial"/>
          <w:i/>
          <w:color w:val="000000"/>
          <w:sz w:val="20"/>
          <w:szCs w:val="20"/>
        </w:rPr>
        <w:t>“</w:t>
      </w:r>
      <w:r w:rsidRPr="00305C01">
        <w:rPr>
          <w:rFonts w:ascii="Arial" w:hAnsi="Arial" w:cs="Arial"/>
          <w:i/>
          <w:color w:val="000000"/>
          <w:sz w:val="20"/>
          <w:szCs w:val="20"/>
        </w:rPr>
        <w:t>Art. 6º A Lei em vigor terá efeito imediato e geral, respeitados o ato jurídico perfeito, o direito adquirido e a coisa julgada.     </w:t>
      </w:r>
      <w:r w:rsidRPr="00305C01">
        <w:rPr>
          <w:rStyle w:val="apple-converted-space"/>
          <w:rFonts w:ascii="Arial" w:hAnsi="Arial" w:cs="Arial"/>
          <w:i/>
          <w:color w:val="000000"/>
          <w:sz w:val="20"/>
          <w:szCs w:val="20"/>
        </w:rPr>
        <w:t> </w:t>
      </w:r>
      <w:r w:rsidRPr="00305C01">
        <w:rPr>
          <w:i/>
          <w:color w:val="000000"/>
          <w:sz w:val="27"/>
          <w:szCs w:val="27"/>
        </w:rPr>
        <w:t xml:space="preserve"> </w:t>
      </w:r>
    </w:p>
    <w:p w:rsidR="00305C01" w:rsidRPr="00305C01" w:rsidRDefault="00305C01" w:rsidP="00305C01">
      <w:pPr>
        <w:pStyle w:val="NormalWeb"/>
        <w:tabs>
          <w:tab w:val="left" w:pos="993"/>
        </w:tabs>
        <w:ind w:left="1134"/>
        <w:rPr>
          <w:b/>
          <w:i/>
          <w:color w:val="000000"/>
          <w:sz w:val="27"/>
          <w:szCs w:val="27"/>
          <w:u w:val="single"/>
        </w:rPr>
      </w:pPr>
      <w:r w:rsidRPr="00305C01">
        <w:rPr>
          <w:rFonts w:ascii="Arial" w:hAnsi="Arial" w:cs="Arial"/>
          <w:b/>
          <w:i/>
          <w:color w:val="000000"/>
          <w:sz w:val="20"/>
          <w:szCs w:val="20"/>
          <w:u w:val="single"/>
        </w:rPr>
        <w:t>§ 1º Reputa-se ato jurídico perfeito o já consumado segundo a lei vigente ao tempo em que se efetuou.</w:t>
      </w:r>
      <w:r>
        <w:rPr>
          <w:rFonts w:ascii="Arial" w:hAnsi="Arial" w:cs="Arial"/>
          <w:b/>
          <w:i/>
          <w:color w:val="000000"/>
          <w:sz w:val="20"/>
          <w:szCs w:val="20"/>
          <w:u w:val="single"/>
        </w:rPr>
        <w:t>”</w:t>
      </w:r>
      <w:r w:rsidRPr="00305C01">
        <w:rPr>
          <w:rFonts w:ascii="Arial" w:hAnsi="Arial" w:cs="Arial"/>
          <w:b/>
          <w:i/>
          <w:color w:val="000000"/>
          <w:sz w:val="20"/>
          <w:szCs w:val="20"/>
          <w:u w:val="single"/>
        </w:rPr>
        <w:t> </w:t>
      </w:r>
    </w:p>
    <w:p w:rsidR="000A053E" w:rsidRDefault="00305C01" w:rsidP="00A02814">
      <w:pPr>
        <w:jc w:val="both"/>
      </w:pPr>
      <w:r>
        <w:t xml:space="preserve"> </w:t>
      </w:r>
    </w:p>
    <w:p w:rsidR="000A053E" w:rsidRDefault="000A053E" w:rsidP="00632230">
      <w:pPr>
        <w:ind w:firstLine="708"/>
        <w:jc w:val="both"/>
      </w:pPr>
      <w:r>
        <w:lastRenderedPageBreak/>
        <w:t>Dentro desse contexto, as normas infraconstitucionais devem seguir a regra geral quanto aos princípios constitucionais de anterioridade, sem o qual, não há aplicação de norma legal ou exigência sem a sua prévia publicidade anterior, para conhecimento de todos</w:t>
      </w:r>
      <w:r w:rsidR="00CD430E">
        <w:t xml:space="preserve"> e produção de sua eficácia</w:t>
      </w:r>
      <w:r>
        <w:t>.</w:t>
      </w:r>
    </w:p>
    <w:p w:rsidR="00674454" w:rsidRDefault="00674454" w:rsidP="00632230">
      <w:pPr>
        <w:ind w:firstLine="708"/>
        <w:jc w:val="both"/>
      </w:pPr>
    </w:p>
    <w:p w:rsidR="001B0906" w:rsidRDefault="000A053E" w:rsidP="00632230">
      <w:pPr>
        <w:ind w:firstLine="708"/>
        <w:jc w:val="both"/>
      </w:pPr>
      <w:r>
        <w:t>Não é possível portanto, que a norma atual, que entrou em vigor em 1</w:t>
      </w:r>
      <w:r w:rsidR="0024307B">
        <w:t>1</w:t>
      </w:r>
      <w:r>
        <w:t xml:space="preserve">/11/2013, </w:t>
      </w:r>
      <w:r w:rsidR="00CD430E">
        <w:t xml:space="preserve"> passando a ser eficaz e ter efeitos vinculantes a partir de 12/11/2013, </w:t>
      </w:r>
      <w:r>
        <w:t>seja aplicada em re</w:t>
      </w:r>
      <w:r w:rsidR="00CD430E">
        <w:t xml:space="preserve">lação a fatos  ocorridos anteriormente e devidamente consolidados, inexistindo previsão legal alguma para o atendimento da exigência que </w:t>
      </w:r>
      <w:r w:rsidR="001B0906">
        <w:t>estabelece  que  a  proposta  de deliberação  esteja “acompanhada  do  respectivo  parecer  técnico” para então ser “submetida à apreciação da Câmara Técnica de Assuntos Legais e Institucionais – CTIL”.</w:t>
      </w:r>
    </w:p>
    <w:p w:rsidR="00674454" w:rsidRDefault="00674454" w:rsidP="00632230">
      <w:pPr>
        <w:ind w:firstLine="708"/>
        <w:jc w:val="both"/>
      </w:pPr>
    </w:p>
    <w:p w:rsidR="000A6C45" w:rsidRDefault="001B0906" w:rsidP="00632230">
      <w:pPr>
        <w:ind w:firstLine="708"/>
        <w:jc w:val="both"/>
      </w:pPr>
      <w:r>
        <w:t xml:space="preserve">A </w:t>
      </w:r>
      <w:r w:rsidR="002E4A63">
        <w:t xml:space="preserve">teor do que reza o § 4º  do  art.  10 segundo o “novo” Regimento Interno,  a </w:t>
      </w:r>
      <w:r>
        <w:t xml:space="preserve">referida exigência de atendimento ao  </w:t>
      </w:r>
      <w:r w:rsidR="002E4A63">
        <w:t xml:space="preserve">quanto à confecção de parecer de encaminhamento elaborado pelo Conselheiro Relator da CTCOB para a submissão da proposta de Deliberação para a reunião da CTIL, deveria, segundo a interpretação ora impugnada, ter sido observada e  cumprida antes da </w:t>
      </w:r>
      <w:r w:rsidR="00FE4E20">
        <w:t xml:space="preserve">própria </w:t>
      </w:r>
      <w:r w:rsidR="00CD430E">
        <w:t>reunião da própria C</w:t>
      </w:r>
      <w:r w:rsidR="002E4A63">
        <w:t>TIL</w:t>
      </w:r>
      <w:r w:rsidR="000A6C45">
        <w:t xml:space="preserve">, ou seja, por </w:t>
      </w:r>
      <w:r w:rsidR="00CD430E">
        <w:t>finalização da reunião da CTCOB, ocorrida em 24/10/2013,</w:t>
      </w:r>
      <w:r w:rsidR="000A6C45">
        <w:t xml:space="preserve"> o que, </w:t>
      </w:r>
      <w:r w:rsidR="000A6C45" w:rsidRPr="00FE4E20">
        <w:rPr>
          <w:b/>
        </w:rPr>
        <w:t xml:space="preserve">destarte era impossível tendo em vista a inexistência de tal requisito legal </w:t>
      </w:r>
      <w:r w:rsidR="00FE4E20" w:rsidRPr="00FE4E20">
        <w:rPr>
          <w:b/>
        </w:rPr>
        <w:t>n</w:t>
      </w:r>
      <w:r w:rsidR="00FE4E20">
        <w:rPr>
          <w:b/>
        </w:rPr>
        <w:t>esta ocasião</w:t>
      </w:r>
      <w:r w:rsidR="000A6C45">
        <w:t>, que entrou em vigor somente em 1</w:t>
      </w:r>
      <w:r w:rsidR="00FE4E20">
        <w:t>1</w:t>
      </w:r>
      <w:r w:rsidR="000A6C45">
        <w:t>/11/2013, passando a produzir efeitos legais nos processos administrativos em trâmite a partir da referida data e jamais antes disso.</w:t>
      </w:r>
    </w:p>
    <w:p w:rsidR="00FE4E20" w:rsidRDefault="000A6C45" w:rsidP="00632230">
      <w:pPr>
        <w:ind w:firstLine="708"/>
        <w:jc w:val="both"/>
      </w:pPr>
      <w:r>
        <w:t xml:space="preserve">Portanto, seria impossível o atendimento ao pressuposto ora exigido, já que a reunião da CTCOB que finalizou as discussões acerca da matéria, para posterior encaminhamento e apreciação pela CTIL, ocorreu em </w:t>
      </w:r>
      <w:r w:rsidR="00FE4E20">
        <w:t>24 de outubro de 2013, ou seja, bem antes das novas exigências e pressupostos legais trazidos pela Portaria 437</w:t>
      </w:r>
      <w:r w:rsidR="00CD430E">
        <w:t xml:space="preserve"> de 11/11/2013</w:t>
      </w:r>
      <w:r w:rsidR="00FE4E20">
        <w:t>.</w:t>
      </w:r>
    </w:p>
    <w:p w:rsidR="00674454" w:rsidRDefault="00674454" w:rsidP="00632230">
      <w:pPr>
        <w:ind w:firstLine="708"/>
        <w:jc w:val="both"/>
      </w:pPr>
    </w:p>
    <w:p w:rsidR="00CD430E" w:rsidRDefault="00FE4E20" w:rsidP="00674454">
      <w:pPr>
        <w:ind w:firstLine="708"/>
        <w:jc w:val="both"/>
      </w:pPr>
      <w:r>
        <w:t xml:space="preserve">O requisito ora imposto, de que a proposta </w:t>
      </w:r>
      <w:r w:rsidR="006953B1">
        <w:t xml:space="preserve">de Deliberação submetida a análise, deva conter o </w:t>
      </w:r>
      <w:r w:rsidR="00CD430E">
        <w:t xml:space="preserve">referido </w:t>
      </w:r>
      <w:r w:rsidR="006953B1">
        <w:t>parecer elaborado pelo Conselheiro Relator da CTCOB, somente pode ser aplicado e exigido nos processos que ainda não passaram por tal fase de tramitação perante o CNRH, ao contrário do que aconteceu no presente caso, em que todas as fases previstas no Regimento Interno em vigor (Portaria nº 377/2003), foram devidamente atendidas e cumpridas até a submissão e aprovação da proposta na CTIL, realizada em 11 e 12 de novembro, e ora devidamen</w:t>
      </w:r>
      <w:r w:rsidR="00F55C22">
        <w:t>te apresentada para apreciação na XXX Reunião Ordinária do CNRH de 17/12/2013.</w:t>
      </w:r>
      <w:r w:rsidR="006953B1">
        <w:t xml:space="preserve">  </w:t>
      </w:r>
    </w:p>
    <w:p w:rsidR="00674454" w:rsidRDefault="00674454" w:rsidP="00674454">
      <w:pPr>
        <w:ind w:firstLine="708"/>
        <w:jc w:val="both"/>
      </w:pPr>
    </w:p>
    <w:p w:rsidR="000A6C45" w:rsidRDefault="000A6C45" w:rsidP="00632230">
      <w:pPr>
        <w:ind w:firstLine="708"/>
        <w:jc w:val="both"/>
      </w:pPr>
      <w:r>
        <w:t>Com efeito, o que se pretende na verdade, fazendo retroagir uma norma e requisito legal, antes mesmo de sua entrada em vigor é que fere o Estado de Direito e contraria todas as normas e princípios existentes em nosso ordenamento jurídico</w:t>
      </w:r>
      <w:r w:rsidR="00CD430E">
        <w:t xml:space="preserve"> e deve ser repelido por esse órgão julgador</w:t>
      </w:r>
      <w:r>
        <w:t>.</w:t>
      </w:r>
    </w:p>
    <w:p w:rsidR="00674454" w:rsidRDefault="00674454" w:rsidP="00632230">
      <w:pPr>
        <w:ind w:firstLine="708"/>
        <w:jc w:val="both"/>
      </w:pPr>
    </w:p>
    <w:p w:rsidR="00674454" w:rsidRDefault="00674454" w:rsidP="00632230">
      <w:pPr>
        <w:ind w:firstLine="708"/>
        <w:jc w:val="both"/>
      </w:pPr>
    </w:p>
    <w:p w:rsidR="00674454" w:rsidRDefault="00674454" w:rsidP="00632230">
      <w:pPr>
        <w:ind w:firstLine="708"/>
        <w:jc w:val="both"/>
      </w:pPr>
    </w:p>
    <w:p w:rsidR="000A6C45" w:rsidRDefault="000A6C45" w:rsidP="00632230">
      <w:pPr>
        <w:ind w:firstLine="708"/>
        <w:jc w:val="both"/>
      </w:pPr>
      <w:r>
        <w:lastRenderedPageBreak/>
        <w:t xml:space="preserve">Não há o que se falar portanto, quanto à ocorrência de </w:t>
      </w:r>
      <w:r w:rsidR="00CD430E">
        <w:t xml:space="preserve">qualquer </w:t>
      </w:r>
      <w:r>
        <w:t>“desrespeito” a norma fundamental</w:t>
      </w:r>
      <w:r w:rsidR="00CD430E">
        <w:t xml:space="preserve"> ou “vício formal” no processo em referência</w:t>
      </w:r>
      <w:r>
        <w:t xml:space="preserve">, eis que o </w:t>
      </w:r>
      <w:r w:rsidR="00CD430E">
        <w:t>mesmo</w:t>
      </w:r>
      <w:r>
        <w:t xml:space="preserve"> teve o seu trâmite legal plenamente obedecido quanto aos requisitos </w:t>
      </w:r>
      <w:r w:rsidR="00CD430E">
        <w:t xml:space="preserve">legais e </w:t>
      </w:r>
      <w:r>
        <w:t>“formais” e obedeceu a todos os trâmites, exigências e caminhos previstos pelo Regimento Interno anterior que estava plenamente em vigor até a publicação do texto do novo Regimento Interno</w:t>
      </w:r>
      <w:r w:rsidR="00CD430E">
        <w:t>.</w:t>
      </w:r>
    </w:p>
    <w:p w:rsidR="001F702C" w:rsidRDefault="00A02814" w:rsidP="00632230">
      <w:pPr>
        <w:ind w:firstLine="708"/>
        <w:jc w:val="both"/>
      </w:pPr>
      <w:r>
        <w:t xml:space="preserve">Nesse sentido, </w:t>
      </w:r>
      <w:r w:rsidR="00AD4BCB">
        <w:t>t</w:t>
      </w:r>
      <w:r>
        <w:t xml:space="preserve">odas as deliberações </w:t>
      </w:r>
      <w:r w:rsidR="001F702C">
        <w:t xml:space="preserve">submetidas </w:t>
      </w:r>
      <w:r>
        <w:t xml:space="preserve"> a Reunião </w:t>
      </w:r>
      <w:r w:rsidR="00B56389">
        <w:t xml:space="preserve"> </w:t>
      </w:r>
      <w:r w:rsidR="00F55C22">
        <w:t>Ordinária</w:t>
      </w:r>
      <w:r w:rsidR="00B56389">
        <w:t xml:space="preserve"> </w:t>
      </w:r>
      <w:r>
        <w:t xml:space="preserve"> do CNRH</w:t>
      </w:r>
      <w:r w:rsidR="001F702C">
        <w:t xml:space="preserve">, </w:t>
      </w:r>
      <w:r>
        <w:t xml:space="preserve"> </w:t>
      </w:r>
      <w:r w:rsidR="00F55C22">
        <w:t xml:space="preserve">de 17/12/2013, </w:t>
      </w:r>
      <w:r w:rsidRPr="001F702C">
        <w:rPr>
          <w:b/>
        </w:rPr>
        <w:t xml:space="preserve">deveriam estar adequadas </w:t>
      </w:r>
      <w:r w:rsidR="001F702C" w:rsidRPr="001F702C">
        <w:rPr>
          <w:b/>
        </w:rPr>
        <w:t xml:space="preserve">às formalidades exigidas </w:t>
      </w:r>
      <w:r w:rsidRPr="001F702C">
        <w:rPr>
          <w:b/>
        </w:rPr>
        <w:t>no  Regimento  Interno  em  vigor</w:t>
      </w:r>
      <w:r w:rsidR="001F702C" w:rsidRPr="001F702C">
        <w:rPr>
          <w:b/>
        </w:rPr>
        <w:t xml:space="preserve"> à época de suas respectivas elaborações e aprovações</w:t>
      </w:r>
      <w:r>
        <w:t>,  não  havendo  o  que  se questionar  a  respeito  da aplicação,  ou não,  do  R</w:t>
      </w:r>
      <w:r w:rsidR="00CD430E">
        <w:t>egimento interno atual</w:t>
      </w:r>
      <w:r w:rsidR="001F702C">
        <w:t>, publicado em 11/11/2013,</w:t>
      </w:r>
      <w:r>
        <w:t xml:space="preserve"> às  propostas que </w:t>
      </w:r>
      <w:r w:rsidR="001F702C">
        <w:t xml:space="preserve"> já percorreram o longo caminho previsto na norma jurídica, inclusive com relevante dispêndio de tempo de todos os envolvidos,  e  ora </w:t>
      </w:r>
      <w:r>
        <w:t xml:space="preserve">seriam  apreciadas </w:t>
      </w:r>
      <w:r w:rsidR="001F702C">
        <w:t>por já terem sido devidamente</w:t>
      </w:r>
      <w:r>
        <w:t xml:space="preserve">  analisadas  pelas</w:t>
      </w:r>
      <w:r w:rsidR="00CD430E">
        <w:t xml:space="preserve"> suas</w:t>
      </w:r>
      <w:r>
        <w:t xml:space="preserve">  Câmaras Técnicas</w:t>
      </w:r>
      <w:r w:rsidR="001F702C">
        <w:t>.</w:t>
      </w:r>
    </w:p>
    <w:p w:rsidR="001F702C" w:rsidRDefault="00C5779F" w:rsidP="00632230">
      <w:pPr>
        <w:ind w:firstLine="708"/>
        <w:jc w:val="both"/>
      </w:pPr>
      <w:r>
        <w:t xml:space="preserve">Diante de tais fundamentos, todas </w:t>
      </w:r>
      <w:r w:rsidR="001F702C">
        <w:t xml:space="preserve">as justificativas apresentadas </w:t>
      </w:r>
      <w:r>
        <w:t xml:space="preserve">devem </w:t>
      </w:r>
      <w:r w:rsidR="001F702C">
        <w:t xml:space="preserve">refutadas </w:t>
      </w:r>
      <w:r>
        <w:t>diante da</w:t>
      </w:r>
      <w:r w:rsidR="001F702C">
        <w:t xml:space="preserve"> inexistência de qualquer vício formal no processo em análise, </w:t>
      </w:r>
      <w:r>
        <w:t xml:space="preserve">devendo ser </w:t>
      </w:r>
      <w:r w:rsidR="001F702C">
        <w:t>determinado</w:t>
      </w:r>
      <w:r>
        <w:t xml:space="preserve"> o seu prosseguimento regular, objetivando a </w:t>
      </w:r>
      <w:r w:rsidR="001F702C">
        <w:t>apreciação da matéria pelo Plenário do CNRH</w:t>
      </w:r>
      <w:r>
        <w:t xml:space="preserve"> para deliberação sobre o assunto</w:t>
      </w:r>
      <w:r w:rsidR="001F702C">
        <w:t>.</w:t>
      </w:r>
    </w:p>
    <w:p w:rsidR="00AF3B34" w:rsidRDefault="00AF3B34" w:rsidP="000C56D9">
      <w:pPr>
        <w:spacing w:after="0" w:line="240" w:lineRule="auto"/>
        <w:jc w:val="center"/>
        <w:rPr>
          <w:b/>
          <w:i/>
        </w:rPr>
      </w:pPr>
    </w:p>
    <w:p w:rsidR="00AF3B34" w:rsidRPr="00674454" w:rsidRDefault="0030799E" w:rsidP="00AF3B34">
      <w:pPr>
        <w:jc w:val="center"/>
        <w:rPr>
          <w:b/>
        </w:rPr>
      </w:pPr>
      <w:r w:rsidRPr="00674454">
        <w:rPr>
          <w:b/>
        </w:rPr>
        <w:t xml:space="preserve">CONTRA-ARGUMENTAÇÃO REFERENTE </w:t>
      </w:r>
      <w:r w:rsidR="00AF3B34" w:rsidRPr="00674454">
        <w:rPr>
          <w:b/>
        </w:rPr>
        <w:t xml:space="preserve">AS DEMAIS JUSTIFICATIVAS </w:t>
      </w:r>
      <w:r w:rsidRPr="00674454">
        <w:rPr>
          <w:b/>
        </w:rPr>
        <w:t xml:space="preserve">APRESENTADAS NO </w:t>
      </w:r>
      <w:r w:rsidR="00AF3B34" w:rsidRPr="00674454">
        <w:rPr>
          <w:b/>
        </w:rPr>
        <w:t>PEDIDO DE VISTAS ELABORADO PELOS SEGMENTOS USUÁRIOS DE ÁGUA JUNTO AO CNRH.</w:t>
      </w:r>
    </w:p>
    <w:p w:rsidR="00AF3B34" w:rsidRPr="00674454" w:rsidRDefault="00AF3B34" w:rsidP="0030799E">
      <w:pPr>
        <w:jc w:val="both"/>
        <w:rPr>
          <w:b/>
        </w:rPr>
      </w:pPr>
    </w:p>
    <w:p w:rsidR="00AF3B34" w:rsidRPr="00674454" w:rsidRDefault="00AF3B34" w:rsidP="0030799E">
      <w:pPr>
        <w:jc w:val="both"/>
        <w:rPr>
          <w:b/>
        </w:rPr>
      </w:pPr>
      <w:r w:rsidRPr="00674454">
        <w:rPr>
          <w:b/>
        </w:rPr>
        <w:t xml:space="preserve">1 – Preocupação quanto à aprovação da atualização dos valores da cobrança PCJ </w:t>
      </w:r>
      <w:r w:rsidRPr="00674454">
        <w:rPr>
          <w:b/>
          <w:u w:val="single"/>
        </w:rPr>
        <w:t>abrir Precedente</w:t>
      </w:r>
      <w:r w:rsidRPr="00674454">
        <w:rPr>
          <w:b/>
        </w:rPr>
        <w:t>, ou seja, iniciar ou incentivar outros Comitês a buscarem a atualização de suas cobranças;</w:t>
      </w:r>
    </w:p>
    <w:p w:rsidR="00AF3B34" w:rsidRPr="00674454" w:rsidRDefault="00AF3B34" w:rsidP="0030799E">
      <w:pPr>
        <w:jc w:val="both"/>
        <w:rPr>
          <w:b/>
        </w:rPr>
      </w:pPr>
    </w:p>
    <w:p w:rsidR="00AF3B34" w:rsidRPr="00674454" w:rsidRDefault="00AF3B34" w:rsidP="0030799E">
      <w:pPr>
        <w:ind w:firstLine="709"/>
        <w:jc w:val="both"/>
      </w:pPr>
      <w:r w:rsidRPr="00674454">
        <w:t>Não Procede tal preocupação porque cada Comitê tem suas necessidades e seus processos internos de discussão.</w:t>
      </w:r>
    </w:p>
    <w:p w:rsidR="00AF3B34" w:rsidRPr="00674454" w:rsidRDefault="00AF3B34" w:rsidP="0030799E">
      <w:pPr>
        <w:ind w:firstLine="709"/>
        <w:jc w:val="both"/>
      </w:pPr>
      <w:r w:rsidRPr="00674454">
        <w:t>Cabe ao CNRH, se for o caso, regulamentar as condições ou pré-condições e exigências para novos casos.</w:t>
      </w:r>
    </w:p>
    <w:p w:rsidR="0030799E" w:rsidRPr="00674454" w:rsidRDefault="00AF3B34" w:rsidP="0030799E">
      <w:pPr>
        <w:jc w:val="both"/>
        <w:rPr>
          <w:b/>
        </w:rPr>
      </w:pPr>
      <w:r w:rsidRPr="00674454">
        <w:rPr>
          <w:b/>
        </w:rPr>
        <w:t>2 – Discussão sobre  “Ilegalidades” em relação aos trâmites no CNRH;</w:t>
      </w:r>
    </w:p>
    <w:p w:rsidR="00AF3B34" w:rsidRPr="00674454" w:rsidRDefault="00AF3B34" w:rsidP="0030799E">
      <w:pPr>
        <w:ind w:firstLine="709"/>
        <w:jc w:val="both"/>
        <w:rPr>
          <w:b/>
          <w:u w:val="single"/>
        </w:rPr>
      </w:pPr>
      <w:r w:rsidRPr="00674454">
        <w:t xml:space="preserve">Os usuários (reclamantes) argumentam que, em função do NOVO regimento Interno do CNRH ter entrado em vigor no dia 11/11/13, e estar sendo submetido agora ao plenário do Conselho, o processo deveria conter um </w:t>
      </w:r>
      <w:r w:rsidRPr="00674454">
        <w:rPr>
          <w:b/>
          <w:u w:val="single"/>
        </w:rPr>
        <w:t>RELATÓRIO FINAL DA Câmara Técnica de Cobrança (CT_COB).</w:t>
      </w:r>
    </w:p>
    <w:p w:rsidR="00AF3B34" w:rsidRPr="00674454" w:rsidRDefault="00AF3B34" w:rsidP="0030799E">
      <w:pPr>
        <w:ind w:firstLine="709"/>
        <w:jc w:val="both"/>
      </w:pPr>
      <w:r w:rsidRPr="00674454">
        <w:t>Ocorre que o assunto chegou ao Conselho em agosto de 2013 e foi analisado e aprovado pela CT-Cob em 16/10/13 e na Câmara Técnica Institucional e Legal (CT-IL) no dia 11/11/13.</w:t>
      </w:r>
    </w:p>
    <w:p w:rsidR="00AF3B34" w:rsidRPr="00674454" w:rsidRDefault="00AF3B34" w:rsidP="0030799E">
      <w:pPr>
        <w:ind w:firstLine="709"/>
        <w:jc w:val="both"/>
      </w:pPr>
      <w:r w:rsidRPr="00674454">
        <w:t>Esta situação já foi Analisada e deliberada pelo Plenário do Conselho, na reunião anterior, quando foi votada sendo que o entendimento do plenário é que o assunto está apto para prosseguir e não fere a legislação.</w:t>
      </w:r>
    </w:p>
    <w:p w:rsidR="00674454" w:rsidRDefault="00674454" w:rsidP="0030799E">
      <w:pPr>
        <w:ind w:firstLine="709"/>
        <w:jc w:val="both"/>
      </w:pPr>
    </w:p>
    <w:p w:rsidR="00AF3B34" w:rsidRPr="00674454" w:rsidRDefault="00674454" w:rsidP="0030799E">
      <w:pPr>
        <w:ind w:firstLine="709"/>
        <w:jc w:val="both"/>
      </w:pPr>
      <w:r>
        <w:lastRenderedPageBreak/>
        <w:t xml:space="preserve">Nesse sentido, as considerações inicialmente expostas, já contestaram tais argumentações. </w:t>
      </w:r>
    </w:p>
    <w:p w:rsidR="00AF3B34" w:rsidRPr="00674454" w:rsidRDefault="00AF3B34" w:rsidP="0030799E">
      <w:pPr>
        <w:jc w:val="both"/>
        <w:rPr>
          <w:b/>
          <w:u w:val="single"/>
        </w:rPr>
      </w:pPr>
      <w:r w:rsidRPr="00674454">
        <w:rPr>
          <w:b/>
        </w:rPr>
        <w:t xml:space="preserve">3- Alegação de que a Câmara Técnica de Cobrança (CT-COB) do Estado de São Paulo identificou diversas </w:t>
      </w:r>
      <w:r w:rsidRPr="00674454">
        <w:rPr>
          <w:b/>
          <w:u w:val="single"/>
        </w:rPr>
        <w:t>“IRREGULARIDADES”.</w:t>
      </w:r>
    </w:p>
    <w:p w:rsidR="00AF3B34" w:rsidRPr="00674454" w:rsidRDefault="00AF3B34" w:rsidP="0030799E">
      <w:pPr>
        <w:ind w:firstLine="709"/>
        <w:jc w:val="both"/>
      </w:pPr>
      <w:r w:rsidRPr="00674454">
        <w:t>Primeiramente é importante destacar que as Legislações, os procedimentos e a forma de tramitar os assuntos são completamente independentes e distintos.</w:t>
      </w:r>
    </w:p>
    <w:p w:rsidR="00AF3B34" w:rsidRPr="00674454" w:rsidRDefault="00AF3B34" w:rsidP="0030799E">
      <w:pPr>
        <w:ind w:firstLine="709"/>
        <w:jc w:val="both"/>
      </w:pPr>
      <w:r w:rsidRPr="00674454">
        <w:t>Não há nenhuma legalidade em querer atrelar a tramitação e as exigências de uma instância com a outra.</w:t>
      </w:r>
    </w:p>
    <w:p w:rsidR="00AF3B34" w:rsidRPr="00674454" w:rsidRDefault="00AF3B34" w:rsidP="0030799E">
      <w:pPr>
        <w:ind w:firstLine="709"/>
        <w:jc w:val="both"/>
      </w:pPr>
      <w:r w:rsidRPr="00674454">
        <w:t>Cabe destacar ainda que a CT-COB do CRH de São Paulo fez considerações sobre o conteúdo do Relatório de Fundamentação apresentado e não irregularidades.</w:t>
      </w:r>
    </w:p>
    <w:p w:rsidR="00AF3B34" w:rsidRPr="00674454" w:rsidRDefault="00AF3B34" w:rsidP="0030799E">
      <w:pPr>
        <w:jc w:val="both"/>
        <w:rPr>
          <w:b/>
        </w:rPr>
      </w:pPr>
      <w:r w:rsidRPr="00674454">
        <w:rPr>
          <w:b/>
        </w:rPr>
        <w:t xml:space="preserve">4 – Devolução da Deliberação aos Comitês PCJ para modificar a </w:t>
      </w:r>
      <w:r w:rsidRPr="00674454">
        <w:rPr>
          <w:b/>
          <w:u w:val="single"/>
        </w:rPr>
        <w:t>data de vigência  dos novos valores</w:t>
      </w:r>
      <w:r w:rsidRPr="00674454">
        <w:rPr>
          <w:b/>
        </w:rPr>
        <w:t>.</w:t>
      </w:r>
    </w:p>
    <w:p w:rsidR="00AF3B34" w:rsidRPr="00674454" w:rsidRDefault="00AF3B34" w:rsidP="0030799E">
      <w:pPr>
        <w:ind w:firstLine="709"/>
        <w:jc w:val="both"/>
      </w:pPr>
      <w:r w:rsidRPr="00674454">
        <w:t xml:space="preserve">A Deliberação dos Comitês PCJ 160/12, aprovada em dezembro de 2012 prevê o inicio dos novos valores para 1º. De janeiro de 2014, conforme Acordo estabelecido com os usuários e seria praticado caso o CNRH tivesse aprovado tal Deliberação até 31/12/2013, porém como isso não aconteceu e a cobrança, por forma legal, não pode ser retroativa, os novos valores passará a ser devido pelos usuários da cobrança em rios de domínio da união nas Bacias PCJ, na data fixada na Resolução do CNRH ou na data da sua publicação no DOU. </w:t>
      </w:r>
    </w:p>
    <w:p w:rsidR="00AF3B34" w:rsidRPr="00674454" w:rsidRDefault="00AF3B34" w:rsidP="0030799E">
      <w:pPr>
        <w:ind w:firstLine="709"/>
        <w:jc w:val="both"/>
      </w:pPr>
      <w:r w:rsidRPr="00674454">
        <w:t>Em nosso entendimento a Deliberação dos Comitês PCJ não poder para fixar a data da vigência, mas sim a Resolução do CNRH ora em discussão.</w:t>
      </w:r>
    </w:p>
    <w:p w:rsidR="00AF3B34" w:rsidRPr="00674454" w:rsidRDefault="00AF3B34" w:rsidP="00AF3B34">
      <w:pPr>
        <w:rPr>
          <w:b/>
        </w:rPr>
      </w:pPr>
      <w:r w:rsidRPr="00674454">
        <w:rPr>
          <w:b/>
        </w:rPr>
        <w:t xml:space="preserve">5 – Alegação de que o processo de discussão no âmbito dos Comitês PCJ </w:t>
      </w:r>
      <w:r w:rsidRPr="00674454">
        <w:rPr>
          <w:b/>
          <w:u w:val="single"/>
        </w:rPr>
        <w:t>NÃO PERMITIU a participação dos setores usuários</w:t>
      </w:r>
      <w:r w:rsidRPr="00674454">
        <w:rPr>
          <w:b/>
        </w:rPr>
        <w:t xml:space="preserve"> e não cumpriu a Resolução CNRH no. 48/2005, onde diz que “os valores e limites deverão ser </w:t>
      </w:r>
      <w:r w:rsidRPr="00674454">
        <w:rPr>
          <w:b/>
          <w:u w:val="single"/>
        </w:rPr>
        <w:t>ACORDADOS</w:t>
      </w:r>
      <w:r w:rsidRPr="00674454">
        <w:rPr>
          <w:b/>
        </w:rPr>
        <w:t xml:space="preserve"> no âmbito do Comitê”.</w:t>
      </w:r>
    </w:p>
    <w:p w:rsidR="00AF3B34" w:rsidRPr="00674454" w:rsidRDefault="00AF3B34" w:rsidP="0030799E">
      <w:pPr>
        <w:ind w:firstLine="709"/>
        <w:jc w:val="both"/>
      </w:pPr>
      <w:r w:rsidRPr="00674454">
        <w:t>Primeiramente é importante destacar que o processo de discussão da proposta no âmbito dos Comitês PCJ, levou 2 anos até ser aprovada, Por ampla maioria dos seus membros.</w:t>
      </w:r>
    </w:p>
    <w:p w:rsidR="00AF3B34" w:rsidRPr="00674454" w:rsidRDefault="00AF3B34" w:rsidP="0030799E">
      <w:pPr>
        <w:ind w:firstLine="709"/>
        <w:jc w:val="both"/>
      </w:pPr>
      <w:r w:rsidRPr="00674454">
        <w:t>Foram realizadas 9 reuniões do Grupo Técnico de Cobrança, 2 reuniões da Câmara Técnica do Plano de Bacias, 1 da Câmara Técnica de Planejamento e finalmente o Plenário.</w:t>
      </w:r>
    </w:p>
    <w:p w:rsidR="00AF3B34" w:rsidRPr="00674454" w:rsidRDefault="00AF3B34" w:rsidP="0030799E">
      <w:pPr>
        <w:ind w:firstLine="709"/>
        <w:jc w:val="both"/>
      </w:pPr>
      <w:r w:rsidRPr="00674454">
        <w:t>Além da realização de uma reunião especifica com os usuários da área de Saneamento e 2 reuniões específicas com os usuários industriais localizados nas Bacias PCJ.</w:t>
      </w:r>
    </w:p>
    <w:p w:rsidR="00AF3B34" w:rsidRPr="00674454" w:rsidRDefault="00AF3B34" w:rsidP="0030799E">
      <w:pPr>
        <w:ind w:firstLine="709"/>
        <w:jc w:val="both"/>
      </w:pPr>
      <w:r w:rsidRPr="00674454">
        <w:t>Cabe destacar que a Coordenação do Grupo Técnico de Cobrança este a cargo da FIESP/SP.</w:t>
      </w:r>
    </w:p>
    <w:p w:rsidR="00AF3B34" w:rsidRPr="00674454" w:rsidRDefault="00AF3B34" w:rsidP="0030799E">
      <w:pPr>
        <w:ind w:firstLine="709"/>
        <w:jc w:val="both"/>
      </w:pPr>
      <w:r w:rsidRPr="00674454">
        <w:t>Portanto podemos dizer que é extremamente tendenciosa e descabida esta afirmação.</w:t>
      </w:r>
    </w:p>
    <w:p w:rsidR="0030799E" w:rsidRPr="00674454" w:rsidRDefault="00AF3B34" w:rsidP="0030799E">
      <w:pPr>
        <w:ind w:firstLine="709"/>
        <w:jc w:val="both"/>
        <w:rPr>
          <w:b/>
          <w:u w:val="single"/>
        </w:rPr>
      </w:pPr>
      <w:r w:rsidRPr="00674454">
        <w:t xml:space="preserve">Quanto a Resolução 48 do CNRH, e o termo “ACORDADO”, o mesmo foi objeto de discussão na Câmara Técnica Institucional e Legal  (CT-IL) onde ficou plenamente esclarecido que </w:t>
      </w:r>
      <w:r w:rsidRPr="00674454">
        <w:rPr>
          <w:b/>
          <w:u w:val="single"/>
        </w:rPr>
        <w:t>ACORDADO NÃO É O MESMO QUE UNANIMIDADE.</w:t>
      </w:r>
    </w:p>
    <w:p w:rsidR="0030799E" w:rsidRDefault="0030799E" w:rsidP="0030799E">
      <w:pPr>
        <w:ind w:firstLine="709"/>
      </w:pPr>
    </w:p>
    <w:p w:rsidR="00223F92" w:rsidRDefault="00223F92" w:rsidP="0030799E">
      <w:pPr>
        <w:ind w:firstLine="709"/>
      </w:pPr>
    </w:p>
    <w:p w:rsidR="00223F92" w:rsidRPr="00674454" w:rsidRDefault="00223F92" w:rsidP="0030799E">
      <w:pPr>
        <w:ind w:firstLine="709"/>
      </w:pPr>
    </w:p>
    <w:p w:rsidR="00AF3B34" w:rsidRPr="00674454" w:rsidRDefault="00AF3B34" w:rsidP="00AF3B34">
      <w:pPr>
        <w:rPr>
          <w:b/>
        </w:rPr>
      </w:pPr>
      <w:r w:rsidRPr="00674454">
        <w:rPr>
          <w:b/>
        </w:rPr>
        <w:lastRenderedPageBreak/>
        <w:t xml:space="preserve">6 – Alegação de que não foram demonstrados os </w:t>
      </w:r>
      <w:r w:rsidRPr="00674454">
        <w:rPr>
          <w:b/>
          <w:u w:val="single"/>
        </w:rPr>
        <w:t>impactos nos setores usuários.</w:t>
      </w:r>
    </w:p>
    <w:p w:rsidR="00AF3B34" w:rsidRPr="00674454" w:rsidRDefault="00AF3B34" w:rsidP="0030799E">
      <w:pPr>
        <w:ind w:firstLine="851"/>
        <w:jc w:val="both"/>
      </w:pPr>
      <w:r w:rsidRPr="00674454">
        <w:t>Foram demonstrados os impactos no setor de saneamento, pois existem informações disponibilizadas publicamente através do site do Ministério das Cidades e do Sistema Nacional de Informações sobre Saneamento (SNIS).</w:t>
      </w:r>
    </w:p>
    <w:p w:rsidR="00AF3B34" w:rsidRPr="00674454" w:rsidRDefault="00AF3B34" w:rsidP="0030799E">
      <w:pPr>
        <w:ind w:firstLine="851"/>
        <w:jc w:val="both"/>
      </w:pPr>
      <w:r w:rsidRPr="00674454">
        <w:t>Para os usuários industriais como não existem informações disponibilizadas, nem individualmente pelos usuários e nem por meios eletrônicos, foram feitas 2 reuniões específicas com os usuários industriais e solicitada a simulação com os novos valores a serem cobrados, não existindo nenhuma manifestação contrária, ou que demonstrasse significativo impacto.</w:t>
      </w:r>
    </w:p>
    <w:p w:rsidR="00AF3B34" w:rsidRPr="00674454" w:rsidRDefault="00AF3B34" w:rsidP="0030799E">
      <w:pPr>
        <w:jc w:val="center"/>
        <w:rPr>
          <w:b/>
        </w:rPr>
      </w:pPr>
      <w:r w:rsidRPr="00674454">
        <w:rPr>
          <w:b/>
        </w:rPr>
        <w:t>RESUMO DAS INFORMAÇÕES DO RELATÓRIO DE FUNDAMENTAÇÃO  ATUALIZAÇÃO DOS VALORES DOS PREÇOS UNITÁRIOS BÁSICOS PUB’s DAS COBRANÇAS PCJ.</w:t>
      </w:r>
    </w:p>
    <w:p w:rsidR="00AF3B34" w:rsidRPr="00674454" w:rsidRDefault="00AF3B34" w:rsidP="00AF3B34">
      <w:pPr>
        <w:rPr>
          <w:b/>
        </w:rPr>
      </w:pPr>
      <w:r w:rsidRPr="00674454">
        <w:rPr>
          <w:b/>
        </w:rPr>
        <w:t>PLANO DE BACIAS 2010-2020</w:t>
      </w:r>
    </w:p>
    <w:p w:rsidR="00AF3B34" w:rsidRDefault="00AF3B34" w:rsidP="00AF3B34">
      <w:pPr>
        <w:pStyle w:val="Legenda"/>
      </w:pPr>
      <w:bookmarkStart w:id="0" w:name="_Toc372711051"/>
      <w:r w:rsidRPr="00674454">
        <w:rPr>
          <w:rFonts w:asciiTheme="minorHAnsi" w:hAnsiTheme="minorHAnsi"/>
          <w:sz w:val="22"/>
          <w:szCs w:val="22"/>
        </w:rPr>
        <w:t>Programa de Investimentos do Plano das Bacias PCJ 2010 a 2020 por Programa</w:t>
      </w:r>
      <w:r>
        <w:t xml:space="preserve"> de Duração C</w:t>
      </w:r>
      <w:bookmarkEnd w:id="0"/>
      <w:r>
        <w:t>ontinuada</w:t>
      </w:r>
    </w:p>
    <w:p w:rsidR="00AF3B34" w:rsidRDefault="00AF3B34" w:rsidP="00AF3B34"/>
    <w:tbl>
      <w:tblPr>
        <w:tblW w:w="9360" w:type="dxa"/>
        <w:tblInd w:w="60" w:type="dxa"/>
        <w:tblLayout w:type="fixed"/>
        <w:tblCellMar>
          <w:left w:w="70" w:type="dxa"/>
          <w:right w:w="70" w:type="dxa"/>
        </w:tblCellMar>
        <w:tblLook w:val="04A0"/>
      </w:tblPr>
      <w:tblGrid>
        <w:gridCol w:w="6809"/>
        <w:gridCol w:w="1700"/>
        <w:gridCol w:w="851"/>
      </w:tblGrid>
      <w:tr w:rsidR="00AF3B34" w:rsidTr="00AF3B34">
        <w:trPr>
          <w:trHeight w:val="795"/>
        </w:trPr>
        <w:tc>
          <w:tcPr>
            <w:tcW w:w="6814" w:type="dxa"/>
            <w:tcBorders>
              <w:top w:val="single" w:sz="12" w:space="0" w:color="auto"/>
              <w:left w:val="nil"/>
              <w:bottom w:val="single" w:sz="12" w:space="0" w:color="auto"/>
              <w:right w:val="nil"/>
            </w:tcBorders>
            <w:noWrap/>
            <w:vAlign w:val="center"/>
            <w:hideMark/>
          </w:tcPr>
          <w:p w:rsidR="00AF3B34" w:rsidRDefault="00AF3B34">
            <w:pPr>
              <w:spacing w:after="120"/>
              <w:rPr>
                <w:rFonts w:ascii="Times New Roman" w:eastAsia="Times New Roman" w:hAnsi="Times New Roman"/>
                <w:b/>
                <w:color w:val="000000"/>
                <w:lang w:eastAsia="pt-BR"/>
              </w:rPr>
            </w:pPr>
            <w:r>
              <w:rPr>
                <w:rFonts w:ascii="Times New Roman" w:eastAsia="Times New Roman" w:hAnsi="Times New Roman"/>
                <w:b/>
                <w:color w:val="000000"/>
                <w:lang w:eastAsia="pt-BR"/>
              </w:rPr>
              <w:t>Ações Elegíveis</w:t>
            </w:r>
          </w:p>
        </w:tc>
        <w:tc>
          <w:tcPr>
            <w:tcW w:w="1701" w:type="dxa"/>
            <w:tcBorders>
              <w:top w:val="single" w:sz="12" w:space="0" w:color="auto"/>
              <w:left w:val="nil"/>
              <w:bottom w:val="single" w:sz="12" w:space="0" w:color="auto"/>
              <w:right w:val="nil"/>
            </w:tcBorders>
            <w:noWrap/>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Valores (R$)</w:t>
            </w:r>
          </w:p>
        </w:tc>
        <w:tc>
          <w:tcPr>
            <w:tcW w:w="851" w:type="dxa"/>
            <w:tcBorders>
              <w:top w:val="single" w:sz="12" w:space="0" w:color="auto"/>
              <w:left w:val="nil"/>
              <w:bottom w:val="single" w:sz="12" w:space="0" w:color="auto"/>
              <w:right w:val="nil"/>
            </w:tcBorders>
            <w:noWrap/>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w:t>
            </w:r>
          </w:p>
        </w:tc>
      </w:tr>
      <w:tr w:rsidR="00AF3B34" w:rsidTr="00AF3B34">
        <w:trPr>
          <w:trHeight w:val="402"/>
        </w:trPr>
        <w:tc>
          <w:tcPr>
            <w:tcW w:w="6814" w:type="dxa"/>
            <w:tcBorders>
              <w:top w:val="single" w:sz="12" w:space="0" w:color="auto"/>
              <w:left w:val="nil"/>
              <w:bottom w:val="nil"/>
              <w:right w:val="nil"/>
            </w:tcBorders>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PDC 1 - Base de Dados, Cadastros, Estudos e Levantamentos</w:t>
            </w:r>
          </w:p>
        </w:tc>
        <w:tc>
          <w:tcPr>
            <w:tcW w:w="1701" w:type="dxa"/>
            <w:tcBorders>
              <w:top w:val="single" w:sz="12" w:space="0" w:color="auto"/>
              <w:left w:val="nil"/>
              <w:bottom w:val="nil"/>
              <w:right w:val="nil"/>
            </w:tcBorders>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 xml:space="preserve">     79.200.000,00 </w:t>
            </w:r>
          </w:p>
        </w:tc>
        <w:tc>
          <w:tcPr>
            <w:tcW w:w="851"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2,9</w:t>
            </w:r>
          </w:p>
        </w:tc>
      </w:tr>
      <w:tr w:rsidR="00AF3B34" w:rsidTr="00AF3B34">
        <w:trPr>
          <w:trHeight w:val="402"/>
        </w:trPr>
        <w:tc>
          <w:tcPr>
            <w:tcW w:w="6814" w:type="dxa"/>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PDC 2 - Gerenciamento dos Recursos Hídricos</w:t>
            </w:r>
          </w:p>
        </w:tc>
        <w:tc>
          <w:tcPr>
            <w:tcW w:w="1701" w:type="dxa"/>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 xml:space="preserve">     19.427.408,40 </w:t>
            </w:r>
          </w:p>
        </w:tc>
        <w:tc>
          <w:tcPr>
            <w:tcW w:w="851"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0,7</w:t>
            </w:r>
          </w:p>
        </w:tc>
      </w:tr>
      <w:tr w:rsidR="00AF3B34" w:rsidTr="00AF3B34">
        <w:trPr>
          <w:trHeight w:val="402"/>
        </w:trPr>
        <w:tc>
          <w:tcPr>
            <w:tcW w:w="6814" w:type="dxa"/>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PDC 3 - Recuperação da Qualidade dos Corpos d'Água</w:t>
            </w:r>
          </w:p>
        </w:tc>
        <w:tc>
          <w:tcPr>
            <w:tcW w:w="1701" w:type="dxa"/>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 xml:space="preserve">   886.665.991,96 </w:t>
            </w:r>
          </w:p>
        </w:tc>
        <w:tc>
          <w:tcPr>
            <w:tcW w:w="851"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32,2</w:t>
            </w:r>
          </w:p>
        </w:tc>
      </w:tr>
      <w:tr w:rsidR="00AF3B34" w:rsidTr="00AF3B34">
        <w:trPr>
          <w:trHeight w:val="402"/>
        </w:trPr>
        <w:tc>
          <w:tcPr>
            <w:tcW w:w="6814" w:type="dxa"/>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PDC 4 - Conservação e Proteção dos Corpos d'Água</w:t>
            </w:r>
          </w:p>
        </w:tc>
        <w:tc>
          <w:tcPr>
            <w:tcW w:w="1701" w:type="dxa"/>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 xml:space="preserve">   383.460.000,00 </w:t>
            </w:r>
          </w:p>
        </w:tc>
        <w:tc>
          <w:tcPr>
            <w:tcW w:w="851"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13,9</w:t>
            </w:r>
          </w:p>
        </w:tc>
      </w:tr>
      <w:tr w:rsidR="00AF3B34" w:rsidTr="00AF3B34">
        <w:trPr>
          <w:trHeight w:val="402"/>
        </w:trPr>
        <w:tc>
          <w:tcPr>
            <w:tcW w:w="6814" w:type="dxa"/>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PDC 5 - Promoção do Uso Racional dos Recursos Hídricos</w:t>
            </w:r>
          </w:p>
        </w:tc>
        <w:tc>
          <w:tcPr>
            <w:tcW w:w="1701" w:type="dxa"/>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 xml:space="preserve">1.036.949.322,78 </w:t>
            </w:r>
          </w:p>
        </w:tc>
        <w:tc>
          <w:tcPr>
            <w:tcW w:w="851"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37,7</w:t>
            </w:r>
          </w:p>
        </w:tc>
      </w:tr>
      <w:tr w:rsidR="00AF3B34" w:rsidTr="00AF3B34">
        <w:trPr>
          <w:trHeight w:val="402"/>
        </w:trPr>
        <w:tc>
          <w:tcPr>
            <w:tcW w:w="6814" w:type="dxa"/>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PDC 6 - Aproveitamento Múltiplo dos recursos Hídricos</w:t>
            </w:r>
          </w:p>
        </w:tc>
        <w:tc>
          <w:tcPr>
            <w:tcW w:w="1701" w:type="dxa"/>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 xml:space="preserve">179.114.579,80 </w:t>
            </w:r>
          </w:p>
        </w:tc>
        <w:tc>
          <w:tcPr>
            <w:tcW w:w="851"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6,5</w:t>
            </w:r>
          </w:p>
        </w:tc>
      </w:tr>
      <w:tr w:rsidR="00AF3B34" w:rsidTr="00AF3B34">
        <w:trPr>
          <w:trHeight w:val="402"/>
        </w:trPr>
        <w:tc>
          <w:tcPr>
            <w:tcW w:w="6814" w:type="dxa"/>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PDC 7 - Preservação e Defesa Contra Eventos Hidrológicos Extremos</w:t>
            </w:r>
          </w:p>
        </w:tc>
        <w:tc>
          <w:tcPr>
            <w:tcW w:w="1701" w:type="dxa"/>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 xml:space="preserve">   138.540.000,00 </w:t>
            </w:r>
          </w:p>
        </w:tc>
        <w:tc>
          <w:tcPr>
            <w:tcW w:w="851"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5,0</w:t>
            </w:r>
          </w:p>
        </w:tc>
      </w:tr>
      <w:tr w:rsidR="00AF3B34" w:rsidTr="00AF3B34">
        <w:trPr>
          <w:trHeight w:val="402"/>
        </w:trPr>
        <w:tc>
          <w:tcPr>
            <w:tcW w:w="6814" w:type="dxa"/>
            <w:tcBorders>
              <w:top w:val="nil"/>
              <w:left w:val="nil"/>
              <w:bottom w:val="single" w:sz="4" w:space="0" w:color="auto"/>
              <w:right w:val="nil"/>
            </w:tcBorders>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PDC 8 - Capacitação Técnica, Educação Ambiental e Comunicação Social</w:t>
            </w:r>
          </w:p>
        </w:tc>
        <w:tc>
          <w:tcPr>
            <w:tcW w:w="1701" w:type="dxa"/>
            <w:tcBorders>
              <w:top w:val="nil"/>
              <w:left w:val="nil"/>
              <w:bottom w:val="single" w:sz="4" w:space="0" w:color="auto"/>
              <w:right w:val="nil"/>
            </w:tcBorders>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 xml:space="preserve">    30.480.000,00 </w:t>
            </w:r>
          </w:p>
        </w:tc>
        <w:tc>
          <w:tcPr>
            <w:tcW w:w="851" w:type="dxa"/>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1,1</w:t>
            </w:r>
          </w:p>
        </w:tc>
      </w:tr>
      <w:tr w:rsidR="00AF3B34" w:rsidTr="00AF3B34">
        <w:trPr>
          <w:trHeight w:val="402"/>
        </w:trPr>
        <w:tc>
          <w:tcPr>
            <w:tcW w:w="6814" w:type="dxa"/>
            <w:tcBorders>
              <w:top w:val="single" w:sz="4" w:space="0" w:color="auto"/>
              <w:left w:val="nil"/>
              <w:bottom w:val="single" w:sz="12" w:space="0" w:color="auto"/>
              <w:right w:val="nil"/>
            </w:tcBorders>
            <w:noWrap/>
            <w:vAlign w:val="center"/>
            <w:hideMark/>
          </w:tcPr>
          <w:p w:rsidR="00AF3B34" w:rsidRDefault="00AF3B34">
            <w:pPr>
              <w:spacing w:after="120"/>
              <w:rPr>
                <w:rFonts w:ascii="Times New Roman" w:eastAsia="Times New Roman" w:hAnsi="Times New Roman"/>
                <w:b/>
                <w:color w:val="000000"/>
                <w:lang w:eastAsia="pt-BR"/>
              </w:rPr>
            </w:pPr>
            <w:r>
              <w:rPr>
                <w:rFonts w:ascii="Times New Roman" w:eastAsia="Times New Roman" w:hAnsi="Times New Roman"/>
                <w:b/>
                <w:color w:val="000000"/>
                <w:lang w:eastAsia="pt-BR"/>
              </w:rPr>
              <w:t xml:space="preserve">Total </w:t>
            </w:r>
          </w:p>
        </w:tc>
        <w:tc>
          <w:tcPr>
            <w:tcW w:w="1701" w:type="dxa"/>
            <w:tcBorders>
              <w:top w:val="single" w:sz="4" w:space="0" w:color="auto"/>
              <w:left w:val="nil"/>
              <w:bottom w:val="single" w:sz="12" w:space="0" w:color="auto"/>
              <w:right w:val="nil"/>
            </w:tcBorders>
            <w:noWrap/>
            <w:vAlign w:val="center"/>
            <w:hideMark/>
          </w:tcPr>
          <w:p w:rsidR="00AF3B34" w:rsidRDefault="00AF3B34">
            <w:pPr>
              <w:spacing w:after="120"/>
              <w:jc w:val="right"/>
              <w:rPr>
                <w:rFonts w:ascii="Times New Roman" w:eastAsia="Times New Roman" w:hAnsi="Times New Roman"/>
                <w:b/>
                <w:color w:val="000000"/>
                <w:lang w:eastAsia="pt-BR"/>
              </w:rPr>
            </w:pPr>
            <w:r>
              <w:rPr>
                <w:rFonts w:ascii="Times New Roman" w:eastAsia="Times New Roman" w:hAnsi="Times New Roman"/>
                <w:b/>
                <w:color w:val="000000"/>
                <w:lang w:eastAsia="pt-BR"/>
              </w:rPr>
              <w:t xml:space="preserve">2.753.837.302,94 </w:t>
            </w:r>
          </w:p>
        </w:tc>
        <w:tc>
          <w:tcPr>
            <w:tcW w:w="851" w:type="dxa"/>
            <w:tcBorders>
              <w:top w:val="single" w:sz="4" w:space="0" w:color="auto"/>
              <w:left w:val="nil"/>
              <w:bottom w:val="nil"/>
              <w:right w:val="nil"/>
            </w:tcBorders>
            <w:noWrap/>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100,0</w:t>
            </w:r>
          </w:p>
        </w:tc>
      </w:tr>
      <w:tr w:rsidR="00AF3B34" w:rsidTr="00AF3B34">
        <w:trPr>
          <w:trHeight w:val="315"/>
        </w:trPr>
        <w:tc>
          <w:tcPr>
            <w:tcW w:w="9366" w:type="dxa"/>
            <w:gridSpan w:val="3"/>
            <w:tcBorders>
              <w:top w:val="single" w:sz="12" w:space="0" w:color="auto"/>
              <w:left w:val="nil"/>
              <w:bottom w:val="nil"/>
              <w:right w:val="nil"/>
            </w:tcBorders>
            <w:noWrap/>
            <w:vAlign w:val="center"/>
            <w:hideMark/>
          </w:tcPr>
          <w:p w:rsidR="00AF3B34" w:rsidRDefault="00AF3B34">
            <w:pPr>
              <w:spacing w:after="120"/>
              <w:jc w:val="both"/>
              <w:rPr>
                <w:rFonts w:ascii="Times New Roman" w:eastAsia="Times New Roman" w:hAnsi="Times New Roman"/>
                <w:color w:val="FF0000"/>
                <w:sz w:val="20"/>
                <w:szCs w:val="20"/>
                <w:lang w:eastAsia="pt-BR"/>
              </w:rPr>
            </w:pPr>
            <w:r>
              <w:rPr>
                <w:rFonts w:ascii="Times New Roman" w:eastAsia="Times New Roman" w:hAnsi="Times New Roman"/>
                <w:sz w:val="20"/>
                <w:szCs w:val="20"/>
                <w:lang w:eastAsia="pt-BR"/>
              </w:rPr>
              <w:t>Fonte: Adaptado de</w:t>
            </w:r>
            <w:r>
              <w:rPr>
                <w:rFonts w:ascii="Times New Roman" w:hAnsi="Times New Roman"/>
                <w:sz w:val="20"/>
                <w:szCs w:val="20"/>
              </w:rPr>
              <w:t xml:space="preserve"> COBRAPE (2010).</w:t>
            </w:r>
          </w:p>
        </w:tc>
      </w:tr>
    </w:tbl>
    <w:p w:rsidR="00AF3B34" w:rsidRDefault="00AF3B34" w:rsidP="00AF3B34">
      <w:pPr>
        <w:rPr>
          <w:sz w:val="24"/>
          <w:szCs w:val="24"/>
        </w:rPr>
      </w:pPr>
    </w:p>
    <w:p w:rsidR="00AF3B34" w:rsidRDefault="00AF3B34" w:rsidP="00AF3B34">
      <w:pPr>
        <w:rPr>
          <w:b/>
          <w:sz w:val="36"/>
          <w:szCs w:val="36"/>
        </w:rPr>
      </w:pPr>
      <w:r>
        <w:rPr>
          <w:b/>
          <w:sz w:val="36"/>
          <w:szCs w:val="36"/>
        </w:rPr>
        <w:t>USUÁRIOS EM COBRANÇA</w:t>
      </w:r>
    </w:p>
    <w:p w:rsidR="00AF3B34" w:rsidRDefault="00AF3B34" w:rsidP="00AF3B34">
      <w:pPr>
        <w:pStyle w:val="Legenda"/>
      </w:pPr>
      <w:bookmarkStart w:id="1" w:name="_Toc372711052"/>
    </w:p>
    <w:p w:rsidR="00AF3B34" w:rsidRDefault="00AF3B34" w:rsidP="00AF3B34">
      <w:pPr>
        <w:pStyle w:val="Legenda"/>
      </w:pPr>
      <w:r>
        <w:t xml:space="preserve"> Número de usuários, em cobrança, em rios de domínio federal em 2012.</w:t>
      </w:r>
      <w:bookmarkEnd w:id="1"/>
    </w:p>
    <w:tbl>
      <w:tblPr>
        <w:tblW w:w="7938" w:type="dxa"/>
        <w:jc w:val="center"/>
        <w:tblInd w:w="54" w:type="dxa"/>
        <w:tblCellMar>
          <w:left w:w="70" w:type="dxa"/>
          <w:right w:w="70" w:type="dxa"/>
        </w:tblCellMar>
        <w:tblLook w:val="04A0"/>
      </w:tblPr>
      <w:tblGrid>
        <w:gridCol w:w="2268"/>
        <w:gridCol w:w="2835"/>
        <w:gridCol w:w="2835"/>
      </w:tblGrid>
      <w:tr w:rsidR="00AF3B34" w:rsidTr="00AF3B34">
        <w:trPr>
          <w:trHeight w:val="531"/>
          <w:jc w:val="center"/>
        </w:trPr>
        <w:tc>
          <w:tcPr>
            <w:tcW w:w="2268" w:type="dxa"/>
            <w:vMerge w:val="restart"/>
            <w:tcBorders>
              <w:top w:val="single" w:sz="12" w:space="0" w:color="auto"/>
              <w:left w:val="nil"/>
              <w:bottom w:val="single" w:sz="12" w:space="0" w:color="000000"/>
              <w:right w:val="nil"/>
            </w:tcBorders>
            <w:vAlign w:val="center"/>
            <w:hideMark/>
          </w:tcPr>
          <w:p w:rsidR="00AF3B34" w:rsidRDefault="00AF3B34">
            <w:pPr>
              <w:spacing w:after="240"/>
              <w:rPr>
                <w:rFonts w:ascii="Times New Roman" w:eastAsia="Times New Roman" w:hAnsi="Times New Roman"/>
                <w:color w:val="000000"/>
                <w:lang w:eastAsia="pt-BR"/>
              </w:rPr>
            </w:pPr>
            <w:r>
              <w:rPr>
                <w:rFonts w:ascii="Times New Roman" w:eastAsia="Times New Roman" w:hAnsi="Times New Roman"/>
                <w:color w:val="000000"/>
                <w:lang w:eastAsia="pt-BR"/>
              </w:rPr>
              <w:t>Setores</w:t>
            </w:r>
          </w:p>
        </w:tc>
        <w:tc>
          <w:tcPr>
            <w:tcW w:w="2835" w:type="dxa"/>
            <w:vMerge w:val="restart"/>
            <w:tcBorders>
              <w:top w:val="single" w:sz="12" w:space="0" w:color="auto"/>
              <w:left w:val="nil"/>
              <w:bottom w:val="single" w:sz="12" w:space="0" w:color="000000"/>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Usuários</w:t>
            </w:r>
          </w:p>
        </w:tc>
        <w:tc>
          <w:tcPr>
            <w:tcW w:w="2835" w:type="dxa"/>
            <w:vMerge w:val="restart"/>
            <w:tcBorders>
              <w:top w:val="single" w:sz="12" w:space="0" w:color="auto"/>
              <w:left w:val="nil"/>
              <w:bottom w:val="single" w:sz="12" w:space="0" w:color="000000"/>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Participação do Setor no Valor Total Arrecadado</w:t>
            </w:r>
          </w:p>
        </w:tc>
      </w:tr>
      <w:tr w:rsidR="00AF3B34" w:rsidTr="00AF3B34">
        <w:trPr>
          <w:trHeight w:val="373"/>
          <w:jc w:val="center"/>
        </w:trPr>
        <w:tc>
          <w:tcPr>
            <w:tcW w:w="0" w:type="auto"/>
            <w:vMerge/>
            <w:tcBorders>
              <w:top w:val="single" w:sz="12" w:space="0" w:color="auto"/>
              <w:left w:val="nil"/>
              <w:bottom w:val="single" w:sz="12" w:space="0" w:color="000000"/>
              <w:right w:val="nil"/>
            </w:tcBorders>
            <w:vAlign w:val="center"/>
            <w:hideMark/>
          </w:tcPr>
          <w:p w:rsidR="00AF3B34" w:rsidRDefault="00AF3B34">
            <w:pPr>
              <w:spacing w:after="0"/>
              <w:rPr>
                <w:rFonts w:ascii="Times New Roman" w:eastAsia="Times New Roman" w:hAnsi="Times New Roman"/>
                <w:color w:val="000000"/>
                <w:lang w:eastAsia="pt-BR"/>
              </w:rPr>
            </w:pPr>
          </w:p>
        </w:tc>
        <w:tc>
          <w:tcPr>
            <w:tcW w:w="0" w:type="auto"/>
            <w:vMerge/>
            <w:tcBorders>
              <w:top w:val="single" w:sz="12" w:space="0" w:color="auto"/>
              <w:left w:val="nil"/>
              <w:bottom w:val="single" w:sz="12" w:space="0" w:color="000000"/>
              <w:right w:val="nil"/>
            </w:tcBorders>
            <w:vAlign w:val="center"/>
            <w:hideMark/>
          </w:tcPr>
          <w:p w:rsidR="00AF3B34" w:rsidRDefault="00AF3B34">
            <w:pPr>
              <w:spacing w:after="0"/>
              <w:rPr>
                <w:rFonts w:ascii="Times New Roman" w:eastAsia="Times New Roman" w:hAnsi="Times New Roman"/>
                <w:color w:val="000000"/>
                <w:lang w:eastAsia="pt-BR"/>
              </w:rPr>
            </w:pPr>
          </w:p>
        </w:tc>
        <w:tc>
          <w:tcPr>
            <w:tcW w:w="0" w:type="auto"/>
            <w:vMerge/>
            <w:tcBorders>
              <w:top w:val="single" w:sz="12" w:space="0" w:color="auto"/>
              <w:left w:val="nil"/>
              <w:bottom w:val="single" w:sz="12" w:space="0" w:color="000000"/>
              <w:right w:val="nil"/>
            </w:tcBorders>
            <w:vAlign w:val="center"/>
            <w:hideMark/>
          </w:tcPr>
          <w:p w:rsidR="00AF3B34" w:rsidRDefault="00AF3B34">
            <w:pPr>
              <w:spacing w:after="0"/>
              <w:rPr>
                <w:rFonts w:ascii="Times New Roman" w:eastAsia="Times New Roman" w:hAnsi="Times New Roman"/>
                <w:color w:val="000000"/>
                <w:lang w:eastAsia="pt-BR"/>
              </w:rPr>
            </w:pPr>
          </w:p>
        </w:tc>
      </w:tr>
      <w:tr w:rsidR="00AF3B34" w:rsidTr="00AF3B34">
        <w:trPr>
          <w:trHeight w:val="402"/>
          <w:jc w:val="center"/>
        </w:trPr>
        <w:tc>
          <w:tcPr>
            <w:tcW w:w="2268" w:type="dxa"/>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Industrial</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59</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14%</w:t>
            </w:r>
          </w:p>
        </w:tc>
      </w:tr>
      <w:tr w:rsidR="00AF3B34" w:rsidTr="00AF3B34">
        <w:trPr>
          <w:trHeight w:val="402"/>
          <w:jc w:val="center"/>
        </w:trPr>
        <w:tc>
          <w:tcPr>
            <w:tcW w:w="2268" w:type="dxa"/>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Abastecimento Público</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24%</w:t>
            </w:r>
          </w:p>
        </w:tc>
      </w:tr>
      <w:tr w:rsidR="00AF3B34" w:rsidTr="00AF3B34">
        <w:trPr>
          <w:trHeight w:val="402"/>
          <w:jc w:val="center"/>
        </w:trPr>
        <w:tc>
          <w:tcPr>
            <w:tcW w:w="2268" w:type="dxa"/>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lastRenderedPageBreak/>
              <w:t>Transposição</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56%</w:t>
            </w:r>
          </w:p>
        </w:tc>
      </w:tr>
      <w:tr w:rsidR="00AF3B34" w:rsidTr="00AF3B34">
        <w:trPr>
          <w:trHeight w:val="402"/>
          <w:jc w:val="center"/>
        </w:trPr>
        <w:tc>
          <w:tcPr>
            <w:tcW w:w="2268" w:type="dxa"/>
            <w:tcBorders>
              <w:top w:val="nil"/>
              <w:left w:val="nil"/>
              <w:bottom w:val="single" w:sz="4" w:space="0" w:color="auto"/>
              <w:right w:val="nil"/>
            </w:tcBorders>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Outros*</w:t>
            </w:r>
          </w:p>
        </w:tc>
        <w:tc>
          <w:tcPr>
            <w:tcW w:w="2835" w:type="dxa"/>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34</w:t>
            </w:r>
          </w:p>
        </w:tc>
        <w:tc>
          <w:tcPr>
            <w:tcW w:w="2835" w:type="dxa"/>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w:t>
            </w:r>
          </w:p>
        </w:tc>
      </w:tr>
      <w:tr w:rsidR="00AF3B34" w:rsidTr="00AF3B34">
        <w:trPr>
          <w:trHeight w:val="402"/>
          <w:jc w:val="center"/>
        </w:trPr>
        <w:tc>
          <w:tcPr>
            <w:tcW w:w="2268" w:type="dxa"/>
            <w:tcBorders>
              <w:top w:val="single" w:sz="4" w:space="0" w:color="auto"/>
              <w:left w:val="nil"/>
              <w:bottom w:val="single" w:sz="12" w:space="0" w:color="auto"/>
              <w:right w:val="nil"/>
            </w:tcBorders>
            <w:vAlign w:val="center"/>
            <w:hideMark/>
          </w:tcPr>
          <w:p w:rsidR="00AF3B34" w:rsidRDefault="00AF3B34">
            <w:pPr>
              <w:spacing w:after="120"/>
              <w:rPr>
                <w:rFonts w:ascii="Times New Roman" w:eastAsia="Times New Roman" w:hAnsi="Times New Roman"/>
                <w:b/>
                <w:color w:val="000000"/>
                <w:lang w:eastAsia="pt-BR"/>
              </w:rPr>
            </w:pPr>
            <w:r>
              <w:rPr>
                <w:rFonts w:ascii="Times New Roman" w:eastAsia="Times New Roman" w:hAnsi="Times New Roman"/>
                <w:b/>
                <w:color w:val="000000"/>
                <w:lang w:eastAsia="pt-BR"/>
              </w:rPr>
              <w:t>Total</w:t>
            </w:r>
          </w:p>
        </w:tc>
        <w:tc>
          <w:tcPr>
            <w:tcW w:w="2835" w:type="dxa"/>
            <w:tcBorders>
              <w:top w:val="single" w:sz="4" w:space="0" w:color="auto"/>
              <w:left w:val="nil"/>
              <w:bottom w:val="single" w:sz="12"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114</w:t>
            </w:r>
          </w:p>
        </w:tc>
        <w:tc>
          <w:tcPr>
            <w:tcW w:w="2835" w:type="dxa"/>
            <w:tcBorders>
              <w:top w:val="single" w:sz="4" w:space="0" w:color="auto"/>
              <w:left w:val="nil"/>
              <w:bottom w:val="single" w:sz="12"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100%</w:t>
            </w:r>
          </w:p>
        </w:tc>
      </w:tr>
      <w:tr w:rsidR="00AF3B34" w:rsidTr="00AF3B34">
        <w:trPr>
          <w:trHeight w:val="315"/>
          <w:jc w:val="center"/>
        </w:trPr>
        <w:tc>
          <w:tcPr>
            <w:tcW w:w="7938" w:type="dxa"/>
            <w:gridSpan w:val="3"/>
            <w:vAlign w:val="bottom"/>
            <w:hideMark/>
          </w:tcPr>
          <w:p w:rsidR="00AF3B34" w:rsidRDefault="00AF3B34">
            <w:pPr>
              <w:spacing w:after="120"/>
              <w:jc w:val="both"/>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Fonte: Agência das Bacias PCJ.</w:t>
            </w:r>
          </w:p>
        </w:tc>
      </w:tr>
      <w:tr w:rsidR="00AF3B34" w:rsidTr="00AF3B34">
        <w:trPr>
          <w:trHeight w:val="315"/>
          <w:jc w:val="center"/>
        </w:trPr>
        <w:tc>
          <w:tcPr>
            <w:tcW w:w="7938" w:type="dxa"/>
            <w:gridSpan w:val="3"/>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*Nota: “Outros” se referem a condomínios, hotéis, clubes e usuários agrícolas.</w:t>
            </w:r>
          </w:p>
        </w:tc>
      </w:tr>
    </w:tbl>
    <w:p w:rsidR="00AF3B34" w:rsidRDefault="00AF3B34" w:rsidP="00AF3B34">
      <w:pPr>
        <w:pStyle w:val="Legenda"/>
      </w:pPr>
      <w:bookmarkStart w:id="2" w:name="_Toc372711053"/>
      <w:r>
        <w:t xml:space="preserve"> Evolução na quantidade de usuários em cobrança em rios de domínio federal.</w:t>
      </w:r>
      <w:bookmarkEnd w:id="2"/>
    </w:p>
    <w:tbl>
      <w:tblPr>
        <w:tblW w:w="4965" w:type="dxa"/>
        <w:jc w:val="center"/>
        <w:tblInd w:w="-1765" w:type="dxa"/>
        <w:tblBorders>
          <w:top w:val="single" w:sz="4" w:space="0" w:color="auto"/>
          <w:bottom w:val="single" w:sz="4" w:space="0" w:color="auto"/>
          <w:insideH w:val="single" w:sz="4" w:space="0" w:color="auto"/>
        </w:tblBorders>
        <w:tblLayout w:type="fixed"/>
        <w:tblCellMar>
          <w:left w:w="70" w:type="dxa"/>
          <w:right w:w="70" w:type="dxa"/>
        </w:tblCellMar>
        <w:tblLook w:val="04A0"/>
      </w:tblPr>
      <w:tblGrid>
        <w:gridCol w:w="2482"/>
        <w:gridCol w:w="2483"/>
      </w:tblGrid>
      <w:tr w:rsidR="00AF3B34" w:rsidTr="00AF3B34">
        <w:trPr>
          <w:trHeight w:val="283"/>
          <w:jc w:val="center"/>
        </w:trPr>
        <w:tc>
          <w:tcPr>
            <w:tcW w:w="2480" w:type="dxa"/>
            <w:tcBorders>
              <w:top w:val="single" w:sz="12" w:space="0" w:color="auto"/>
              <w:left w:val="nil"/>
              <w:bottom w:val="single" w:sz="12" w:space="0" w:color="auto"/>
              <w:right w:val="nil"/>
            </w:tcBorders>
            <w:noWrap/>
            <w:vAlign w:val="bottom"/>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Ano</w:t>
            </w:r>
          </w:p>
        </w:tc>
        <w:tc>
          <w:tcPr>
            <w:tcW w:w="2481" w:type="dxa"/>
            <w:tcBorders>
              <w:top w:val="single" w:sz="12" w:space="0" w:color="auto"/>
              <w:left w:val="nil"/>
              <w:bottom w:val="single" w:sz="12" w:space="0" w:color="auto"/>
              <w:right w:val="nil"/>
            </w:tcBorders>
            <w:noWrap/>
            <w:vAlign w:val="bottom"/>
            <w:hideMark/>
          </w:tcPr>
          <w:p w:rsidR="00AF3B34" w:rsidRDefault="00AF3B34">
            <w:pPr>
              <w:spacing w:after="120"/>
              <w:ind w:left="53" w:hanging="53"/>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Usuários</w:t>
            </w:r>
          </w:p>
        </w:tc>
      </w:tr>
      <w:tr w:rsidR="00AF3B34" w:rsidTr="00AF3B34">
        <w:trPr>
          <w:trHeight w:val="283"/>
          <w:jc w:val="center"/>
        </w:trPr>
        <w:tc>
          <w:tcPr>
            <w:tcW w:w="2480" w:type="dxa"/>
            <w:tcBorders>
              <w:top w:val="single" w:sz="12"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2006</w:t>
            </w:r>
          </w:p>
        </w:tc>
        <w:tc>
          <w:tcPr>
            <w:tcW w:w="2481" w:type="dxa"/>
            <w:tcBorders>
              <w:top w:val="single" w:sz="12" w:space="0" w:color="auto"/>
              <w:left w:val="nil"/>
              <w:bottom w:val="nil"/>
              <w:right w:val="nil"/>
            </w:tcBorders>
            <w:noWrap/>
            <w:vAlign w:val="bottom"/>
            <w:hideMark/>
          </w:tcPr>
          <w:p w:rsidR="00AF3B34" w:rsidRDefault="00AF3B34">
            <w:pPr>
              <w:spacing w:after="120"/>
              <w:ind w:left="53" w:hanging="53"/>
              <w:jc w:val="center"/>
              <w:rPr>
                <w:rFonts w:ascii="Times New Roman" w:eastAsia="Times New Roman" w:hAnsi="Times New Roman"/>
                <w:color w:val="000000"/>
                <w:lang w:eastAsia="pt-BR"/>
              </w:rPr>
            </w:pPr>
            <w:r>
              <w:rPr>
                <w:rFonts w:ascii="Times New Roman" w:eastAsia="Times New Roman" w:hAnsi="Times New Roman"/>
                <w:color w:val="000000"/>
                <w:lang w:eastAsia="pt-BR"/>
              </w:rPr>
              <w:t>100</w:t>
            </w:r>
          </w:p>
        </w:tc>
      </w:tr>
      <w:tr w:rsidR="00AF3B34" w:rsidTr="00AF3B34">
        <w:trPr>
          <w:trHeight w:val="283"/>
          <w:jc w:val="center"/>
        </w:trPr>
        <w:tc>
          <w:tcPr>
            <w:tcW w:w="2480" w:type="dxa"/>
            <w:tcBorders>
              <w:top w:val="nil"/>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2007</w:t>
            </w:r>
          </w:p>
        </w:tc>
        <w:tc>
          <w:tcPr>
            <w:tcW w:w="2481" w:type="dxa"/>
            <w:tcBorders>
              <w:top w:val="nil"/>
              <w:left w:val="nil"/>
              <w:bottom w:val="nil"/>
              <w:right w:val="nil"/>
            </w:tcBorders>
            <w:noWrap/>
            <w:vAlign w:val="bottom"/>
            <w:hideMark/>
          </w:tcPr>
          <w:p w:rsidR="00AF3B34" w:rsidRDefault="00AF3B34">
            <w:pPr>
              <w:spacing w:after="120"/>
              <w:ind w:left="53" w:hanging="53"/>
              <w:jc w:val="center"/>
              <w:rPr>
                <w:rFonts w:ascii="Times New Roman" w:eastAsia="Times New Roman" w:hAnsi="Times New Roman"/>
                <w:color w:val="000000"/>
                <w:lang w:eastAsia="pt-BR"/>
              </w:rPr>
            </w:pPr>
            <w:r>
              <w:rPr>
                <w:rFonts w:ascii="Times New Roman" w:eastAsia="Times New Roman" w:hAnsi="Times New Roman"/>
                <w:color w:val="000000"/>
                <w:lang w:eastAsia="pt-BR"/>
              </w:rPr>
              <w:t>97</w:t>
            </w:r>
          </w:p>
        </w:tc>
      </w:tr>
      <w:tr w:rsidR="00AF3B34" w:rsidTr="00AF3B34">
        <w:trPr>
          <w:trHeight w:val="283"/>
          <w:jc w:val="center"/>
        </w:trPr>
        <w:tc>
          <w:tcPr>
            <w:tcW w:w="2480" w:type="dxa"/>
            <w:tcBorders>
              <w:top w:val="nil"/>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2008</w:t>
            </w:r>
          </w:p>
        </w:tc>
        <w:tc>
          <w:tcPr>
            <w:tcW w:w="2481" w:type="dxa"/>
            <w:tcBorders>
              <w:top w:val="nil"/>
              <w:left w:val="nil"/>
              <w:bottom w:val="nil"/>
              <w:right w:val="nil"/>
            </w:tcBorders>
            <w:noWrap/>
            <w:vAlign w:val="bottom"/>
            <w:hideMark/>
          </w:tcPr>
          <w:p w:rsidR="00AF3B34" w:rsidRDefault="00AF3B34">
            <w:pPr>
              <w:spacing w:after="120"/>
              <w:ind w:left="53" w:hanging="53"/>
              <w:jc w:val="center"/>
              <w:rPr>
                <w:rFonts w:ascii="Times New Roman" w:eastAsia="Times New Roman" w:hAnsi="Times New Roman"/>
                <w:color w:val="000000"/>
                <w:lang w:eastAsia="pt-BR"/>
              </w:rPr>
            </w:pPr>
            <w:r>
              <w:rPr>
                <w:rFonts w:ascii="Times New Roman" w:eastAsia="Times New Roman" w:hAnsi="Times New Roman"/>
                <w:color w:val="000000"/>
                <w:lang w:eastAsia="pt-BR"/>
              </w:rPr>
              <w:t>106</w:t>
            </w:r>
          </w:p>
        </w:tc>
      </w:tr>
      <w:tr w:rsidR="00AF3B34" w:rsidTr="00AF3B34">
        <w:trPr>
          <w:trHeight w:val="283"/>
          <w:jc w:val="center"/>
        </w:trPr>
        <w:tc>
          <w:tcPr>
            <w:tcW w:w="2480" w:type="dxa"/>
            <w:tcBorders>
              <w:top w:val="nil"/>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2009</w:t>
            </w:r>
          </w:p>
        </w:tc>
        <w:tc>
          <w:tcPr>
            <w:tcW w:w="2481" w:type="dxa"/>
            <w:tcBorders>
              <w:top w:val="nil"/>
              <w:left w:val="nil"/>
              <w:bottom w:val="nil"/>
              <w:right w:val="nil"/>
            </w:tcBorders>
            <w:noWrap/>
            <w:vAlign w:val="bottom"/>
            <w:hideMark/>
          </w:tcPr>
          <w:p w:rsidR="00AF3B34" w:rsidRDefault="00AF3B34">
            <w:pPr>
              <w:spacing w:after="120"/>
              <w:ind w:left="53" w:hanging="53"/>
              <w:jc w:val="center"/>
              <w:rPr>
                <w:rFonts w:ascii="Times New Roman" w:eastAsia="Times New Roman" w:hAnsi="Times New Roman"/>
                <w:color w:val="000000"/>
                <w:lang w:eastAsia="pt-BR"/>
              </w:rPr>
            </w:pPr>
            <w:r>
              <w:rPr>
                <w:rFonts w:ascii="Times New Roman" w:eastAsia="Times New Roman" w:hAnsi="Times New Roman"/>
                <w:color w:val="000000"/>
                <w:lang w:eastAsia="pt-BR"/>
              </w:rPr>
              <w:t>105</w:t>
            </w:r>
          </w:p>
        </w:tc>
      </w:tr>
      <w:tr w:rsidR="00AF3B34" w:rsidTr="00AF3B34">
        <w:trPr>
          <w:trHeight w:val="283"/>
          <w:jc w:val="center"/>
        </w:trPr>
        <w:tc>
          <w:tcPr>
            <w:tcW w:w="2480" w:type="dxa"/>
            <w:tcBorders>
              <w:top w:val="nil"/>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2010</w:t>
            </w:r>
          </w:p>
        </w:tc>
        <w:tc>
          <w:tcPr>
            <w:tcW w:w="2481" w:type="dxa"/>
            <w:tcBorders>
              <w:top w:val="nil"/>
              <w:left w:val="nil"/>
              <w:bottom w:val="nil"/>
              <w:right w:val="nil"/>
            </w:tcBorders>
            <w:noWrap/>
            <w:vAlign w:val="bottom"/>
            <w:hideMark/>
          </w:tcPr>
          <w:p w:rsidR="00AF3B34" w:rsidRDefault="00AF3B34">
            <w:pPr>
              <w:spacing w:after="120"/>
              <w:ind w:left="53" w:hanging="53"/>
              <w:jc w:val="center"/>
              <w:rPr>
                <w:rFonts w:ascii="Times New Roman" w:eastAsia="Times New Roman" w:hAnsi="Times New Roman"/>
                <w:color w:val="000000"/>
                <w:lang w:eastAsia="pt-BR"/>
              </w:rPr>
            </w:pPr>
            <w:r>
              <w:rPr>
                <w:rFonts w:ascii="Times New Roman" w:eastAsia="Times New Roman" w:hAnsi="Times New Roman"/>
                <w:color w:val="000000"/>
                <w:lang w:eastAsia="pt-BR"/>
              </w:rPr>
              <w:t>113</w:t>
            </w:r>
          </w:p>
        </w:tc>
      </w:tr>
      <w:tr w:rsidR="00AF3B34" w:rsidTr="00AF3B34">
        <w:trPr>
          <w:trHeight w:val="283"/>
          <w:jc w:val="center"/>
        </w:trPr>
        <w:tc>
          <w:tcPr>
            <w:tcW w:w="2480" w:type="dxa"/>
            <w:tcBorders>
              <w:top w:val="nil"/>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2011</w:t>
            </w:r>
          </w:p>
        </w:tc>
        <w:tc>
          <w:tcPr>
            <w:tcW w:w="2481" w:type="dxa"/>
            <w:tcBorders>
              <w:top w:val="nil"/>
              <w:left w:val="nil"/>
              <w:bottom w:val="nil"/>
              <w:right w:val="nil"/>
            </w:tcBorders>
            <w:noWrap/>
            <w:vAlign w:val="bottom"/>
            <w:hideMark/>
          </w:tcPr>
          <w:p w:rsidR="00AF3B34" w:rsidRDefault="00AF3B34">
            <w:pPr>
              <w:spacing w:after="120"/>
              <w:ind w:left="53" w:hanging="53"/>
              <w:jc w:val="center"/>
              <w:rPr>
                <w:rFonts w:ascii="Times New Roman" w:eastAsia="Times New Roman" w:hAnsi="Times New Roman"/>
                <w:color w:val="000000"/>
                <w:lang w:eastAsia="pt-BR"/>
              </w:rPr>
            </w:pPr>
            <w:r>
              <w:rPr>
                <w:rFonts w:ascii="Times New Roman" w:eastAsia="Times New Roman" w:hAnsi="Times New Roman"/>
                <w:color w:val="000000"/>
                <w:lang w:eastAsia="pt-BR"/>
              </w:rPr>
              <w:t>112</w:t>
            </w:r>
          </w:p>
        </w:tc>
      </w:tr>
      <w:tr w:rsidR="00AF3B34" w:rsidTr="00AF3B34">
        <w:trPr>
          <w:trHeight w:val="283"/>
          <w:jc w:val="center"/>
        </w:trPr>
        <w:tc>
          <w:tcPr>
            <w:tcW w:w="2480" w:type="dxa"/>
            <w:tcBorders>
              <w:top w:val="nil"/>
              <w:left w:val="nil"/>
              <w:bottom w:val="single" w:sz="12"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2012</w:t>
            </w:r>
          </w:p>
        </w:tc>
        <w:tc>
          <w:tcPr>
            <w:tcW w:w="2481" w:type="dxa"/>
            <w:tcBorders>
              <w:top w:val="nil"/>
              <w:left w:val="nil"/>
              <w:bottom w:val="single" w:sz="12" w:space="0" w:color="auto"/>
              <w:right w:val="nil"/>
            </w:tcBorders>
            <w:noWrap/>
            <w:vAlign w:val="bottom"/>
            <w:hideMark/>
          </w:tcPr>
          <w:p w:rsidR="00AF3B34" w:rsidRDefault="00AF3B34">
            <w:pPr>
              <w:spacing w:after="120"/>
              <w:ind w:left="53" w:hanging="53"/>
              <w:jc w:val="center"/>
              <w:rPr>
                <w:rFonts w:ascii="Times New Roman" w:eastAsia="Times New Roman" w:hAnsi="Times New Roman"/>
                <w:color w:val="000000"/>
                <w:lang w:eastAsia="pt-BR"/>
              </w:rPr>
            </w:pPr>
            <w:r>
              <w:rPr>
                <w:rFonts w:ascii="Times New Roman" w:eastAsia="Times New Roman" w:hAnsi="Times New Roman"/>
                <w:color w:val="000000"/>
                <w:lang w:eastAsia="pt-BR"/>
              </w:rPr>
              <w:t>114</w:t>
            </w:r>
          </w:p>
        </w:tc>
      </w:tr>
    </w:tbl>
    <w:p w:rsidR="00AF3B34" w:rsidRDefault="00AF3B34" w:rsidP="00AF3B34">
      <w:pPr>
        <w:jc w:val="center"/>
        <w:rPr>
          <w:rFonts w:ascii="Times New Roman" w:hAnsi="Times New Roman"/>
        </w:rPr>
      </w:pPr>
      <w:r>
        <w:rPr>
          <w:rFonts w:ascii="Times New Roman" w:hAnsi="Times New Roman"/>
        </w:rPr>
        <w:t>Fonte: Fundação Agência das Bacias PCJ (2013b)</w:t>
      </w:r>
    </w:p>
    <w:p w:rsidR="00AF3B34" w:rsidRDefault="00AF3B34" w:rsidP="00AF3B34">
      <w:pPr>
        <w:rPr>
          <w:sz w:val="24"/>
          <w:szCs w:val="24"/>
        </w:rPr>
      </w:pPr>
    </w:p>
    <w:p w:rsidR="00AF3B34" w:rsidRDefault="00AF3B34" w:rsidP="00AF3B34">
      <w:pPr>
        <w:pStyle w:val="Legenda"/>
        <w:rPr>
          <w:noProof/>
        </w:rPr>
      </w:pPr>
      <w:bookmarkStart w:id="3" w:name="_Toc372711054"/>
      <w:r>
        <w:t>Número de usuários com cadastro ativo, em cobrança, em corpos d’água de domínio paulista em 2012.</w:t>
      </w:r>
      <w:bookmarkEnd w:id="3"/>
    </w:p>
    <w:tbl>
      <w:tblPr>
        <w:tblW w:w="7963" w:type="dxa"/>
        <w:jc w:val="center"/>
        <w:tblInd w:w="54" w:type="dxa"/>
        <w:tblCellMar>
          <w:left w:w="70" w:type="dxa"/>
          <w:right w:w="70" w:type="dxa"/>
        </w:tblCellMar>
        <w:tblLook w:val="04A0"/>
      </w:tblPr>
      <w:tblGrid>
        <w:gridCol w:w="2268"/>
        <w:gridCol w:w="2835"/>
        <w:gridCol w:w="2835"/>
        <w:gridCol w:w="25"/>
      </w:tblGrid>
      <w:tr w:rsidR="00AF3B34" w:rsidTr="00AF3B34">
        <w:trPr>
          <w:gridAfter w:val="1"/>
          <w:wAfter w:w="25" w:type="dxa"/>
          <w:trHeight w:val="411"/>
          <w:jc w:val="center"/>
        </w:trPr>
        <w:tc>
          <w:tcPr>
            <w:tcW w:w="2268" w:type="dxa"/>
            <w:vMerge w:val="restart"/>
            <w:tcBorders>
              <w:top w:val="single" w:sz="12" w:space="0" w:color="auto"/>
              <w:left w:val="nil"/>
              <w:bottom w:val="single" w:sz="12" w:space="0" w:color="000000"/>
              <w:right w:val="nil"/>
            </w:tcBorders>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Setores</w:t>
            </w:r>
          </w:p>
        </w:tc>
        <w:tc>
          <w:tcPr>
            <w:tcW w:w="2835" w:type="dxa"/>
            <w:vMerge w:val="restart"/>
            <w:tcBorders>
              <w:top w:val="single" w:sz="12" w:space="0" w:color="auto"/>
              <w:left w:val="nil"/>
              <w:bottom w:val="single" w:sz="12" w:space="0" w:color="000000"/>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Usuários</w:t>
            </w:r>
          </w:p>
        </w:tc>
        <w:tc>
          <w:tcPr>
            <w:tcW w:w="2835" w:type="dxa"/>
            <w:vMerge w:val="restart"/>
            <w:tcBorders>
              <w:top w:val="single" w:sz="12" w:space="0" w:color="auto"/>
              <w:left w:val="nil"/>
              <w:bottom w:val="single" w:sz="12" w:space="0" w:color="000000"/>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Participação do setor no Valor Total Arrecadado</w:t>
            </w:r>
          </w:p>
        </w:tc>
      </w:tr>
      <w:tr w:rsidR="00AF3B34" w:rsidTr="00AF3B34">
        <w:trPr>
          <w:gridAfter w:val="1"/>
          <w:wAfter w:w="25" w:type="dxa"/>
          <w:trHeight w:val="373"/>
          <w:jc w:val="center"/>
        </w:trPr>
        <w:tc>
          <w:tcPr>
            <w:tcW w:w="0" w:type="auto"/>
            <w:vMerge/>
            <w:tcBorders>
              <w:top w:val="single" w:sz="12" w:space="0" w:color="auto"/>
              <w:left w:val="nil"/>
              <w:bottom w:val="single" w:sz="12" w:space="0" w:color="000000"/>
              <w:right w:val="nil"/>
            </w:tcBorders>
            <w:vAlign w:val="center"/>
            <w:hideMark/>
          </w:tcPr>
          <w:p w:rsidR="00AF3B34" w:rsidRDefault="00AF3B34">
            <w:pPr>
              <w:spacing w:after="0"/>
              <w:rPr>
                <w:rFonts w:ascii="Times New Roman" w:eastAsia="Times New Roman" w:hAnsi="Times New Roman"/>
                <w:color w:val="000000"/>
                <w:lang w:eastAsia="pt-BR"/>
              </w:rPr>
            </w:pPr>
          </w:p>
        </w:tc>
        <w:tc>
          <w:tcPr>
            <w:tcW w:w="0" w:type="auto"/>
            <w:vMerge/>
            <w:tcBorders>
              <w:top w:val="single" w:sz="12" w:space="0" w:color="auto"/>
              <w:left w:val="nil"/>
              <w:bottom w:val="single" w:sz="12" w:space="0" w:color="000000"/>
              <w:right w:val="nil"/>
            </w:tcBorders>
            <w:vAlign w:val="center"/>
            <w:hideMark/>
          </w:tcPr>
          <w:p w:rsidR="00AF3B34" w:rsidRDefault="00AF3B34">
            <w:pPr>
              <w:spacing w:after="0"/>
              <w:rPr>
                <w:rFonts w:ascii="Times New Roman" w:eastAsia="Times New Roman" w:hAnsi="Times New Roman"/>
                <w:color w:val="000000"/>
                <w:lang w:eastAsia="pt-BR"/>
              </w:rPr>
            </w:pPr>
          </w:p>
        </w:tc>
        <w:tc>
          <w:tcPr>
            <w:tcW w:w="0" w:type="auto"/>
            <w:vMerge/>
            <w:tcBorders>
              <w:top w:val="single" w:sz="12" w:space="0" w:color="auto"/>
              <w:left w:val="nil"/>
              <w:bottom w:val="single" w:sz="12" w:space="0" w:color="000000"/>
              <w:right w:val="nil"/>
            </w:tcBorders>
            <w:vAlign w:val="center"/>
            <w:hideMark/>
          </w:tcPr>
          <w:p w:rsidR="00AF3B34" w:rsidRDefault="00AF3B34">
            <w:pPr>
              <w:spacing w:after="0"/>
              <w:rPr>
                <w:rFonts w:ascii="Times New Roman" w:eastAsia="Times New Roman" w:hAnsi="Times New Roman"/>
                <w:color w:val="000000"/>
                <w:lang w:eastAsia="pt-BR"/>
              </w:rPr>
            </w:pPr>
          </w:p>
        </w:tc>
      </w:tr>
      <w:tr w:rsidR="00AF3B34" w:rsidTr="00AF3B34">
        <w:trPr>
          <w:gridAfter w:val="1"/>
          <w:wAfter w:w="25" w:type="dxa"/>
          <w:trHeight w:val="402"/>
          <w:jc w:val="center"/>
        </w:trPr>
        <w:tc>
          <w:tcPr>
            <w:tcW w:w="2268" w:type="dxa"/>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Industrial</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957</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14%</w:t>
            </w:r>
          </w:p>
        </w:tc>
      </w:tr>
      <w:tr w:rsidR="00AF3B34" w:rsidTr="00AF3B34">
        <w:trPr>
          <w:gridAfter w:val="1"/>
          <w:wAfter w:w="25" w:type="dxa"/>
          <w:trHeight w:val="402"/>
          <w:jc w:val="center"/>
        </w:trPr>
        <w:tc>
          <w:tcPr>
            <w:tcW w:w="2268" w:type="dxa"/>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Abastecimento Público</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67</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63%</w:t>
            </w:r>
          </w:p>
        </w:tc>
      </w:tr>
      <w:tr w:rsidR="00AF3B34" w:rsidTr="00AF3B34">
        <w:trPr>
          <w:gridAfter w:val="1"/>
          <w:wAfter w:w="25" w:type="dxa"/>
          <w:trHeight w:val="402"/>
          <w:jc w:val="center"/>
        </w:trPr>
        <w:tc>
          <w:tcPr>
            <w:tcW w:w="2268" w:type="dxa"/>
            <w:vAlign w:val="center"/>
            <w:hideMark/>
          </w:tcPr>
          <w:p w:rsidR="00AF3B34" w:rsidRDefault="00AF3B34">
            <w:pPr>
              <w:spacing w:after="120"/>
            </w:pPr>
            <w:r>
              <w:rPr>
                <w:rFonts w:ascii="Times New Roman" w:eastAsia="Times New Roman" w:hAnsi="Times New Roman"/>
                <w:color w:val="000000"/>
                <w:lang w:eastAsia="pt-BR"/>
              </w:rPr>
              <w:t>Transposição</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19%</w:t>
            </w:r>
          </w:p>
        </w:tc>
      </w:tr>
      <w:tr w:rsidR="00AF3B34" w:rsidTr="00AF3B34">
        <w:trPr>
          <w:gridAfter w:val="1"/>
          <w:wAfter w:w="25" w:type="dxa"/>
          <w:trHeight w:val="402"/>
          <w:jc w:val="center"/>
        </w:trPr>
        <w:tc>
          <w:tcPr>
            <w:tcW w:w="2268" w:type="dxa"/>
            <w:tcBorders>
              <w:top w:val="nil"/>
              <w:left w:val="nil"/>
              <w:bottom w:val="single" w:sz="4" w:space="0" w:color="auto"/>
              <w:right w:val="nil"/>
            </w:tcBorders>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Outros*</w:t>
            </w:r>
          </w:p>
        </w:tc>
        <w:tc>
          <w:tcPr>
            <w:tcW w:w="2835" w:type="dxa"/>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1131</w:t>
            </w:r>
          </w:p>
        </w:tc>
        <w:tc>
          <w:tcPr>
            <w:tcW w:w="2835" w:type="dxa"/>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w:t>
            </w:r>
          </w:p>
        </w:tc>
      </w:tr>
      <w:tr w:rsidR="00AF3B34" w:rsidTr="00AF3B34">
        <w:trPr>
          <w:gridAfter w:val="1"/>
          <w:wAfter w:w="25" w:type="dxa"/>
          <w:trHeight w:val="402"/>
          <w:jc w:val="center"/>
        </w:trPr>
        <w:tc>
          <w:tcPr>
            <w:tcW w:w="2268" w:type="dxa"/>
            <w:tcBorders>
              <w:top w:val="single" w:sz="4" w:space="0" w:color="auto"/>
              <w:left w:val="nil"/>
              <w:bottom w:val="single" w:sz="12" w:space="0" w:color="auto"/>
              <w:right w:val="nil"/>
            </w:tcBorders>
            <w:vAlign w:val="center"/>
            <w:hideMark/>
          </w:tcPr>
          <w:p w:rsidR="00AF3B34" w:rsidRDefault="00AF3B34">
            <w:pPr>
              <w:spacing w:after="120"/>
              <w:rPr>
                <w:rFonts w:ascii="Times New Roman" w:eastAsia="Times New Roman" w:hAnsi="Times New Roman"/>
                <w:b/>
                <w:color w:val="000000"/>
                <w:lang w:eastAsia="pt-BR"/>
              </w:rPr>
            </w:pPr>
            <w:r>
              <w:rPr>
                <w:rFonts w:ascii="Times New Roman" w:eastAsia="Times New Roman" w:hAnsi="Times New Roman"/>
                <w:b/>
                <w:color w:val="000000"/>
                <w:lang w:eastAsia="pt-BR"/>
              </w:rPr>
              <w:t>Total</w:t>
            </w:r>
          </w:p>
        </w:tc>
        <w:tc>
          <w:tcPr>
            <w:tcW w:w="2835" w:type="dxa"/>
            <w:tcBorders>
              <w:top w:val="single" w:sz="4" w:space="0" w:color="auto"/>
              <w:left w:val="nil"/>
              <w:bottom w:val="single" w:sz="12"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2156</w:t>
            </w:r>
          </w:p>
        </w:tc>
        <w:tc>
          <w:tcPr>
            <w:tcW w:w="2835" w:type="dxa"/>
            <w:tcBorders>
              <w:top w:val="single" w:sz="4" w:space="0" w:color="auto"/>
              <w:left w:val="nil"/>
              <w:bottom w:val="single" w:sz="12"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100%</w:t>
            </w:r>
          </w:p>
        </w:tc>
      </w:tr>
      <w:tr w:rsidR="00AF3B34" w:rsidTr="00AF3B34">
        <w:trPr>
          <w:trHeight w:val="315"/>
          <w:jc w:val="center"/>
        </w:trPr>
        <w:tc>
          <w:tcPr>
            <w:tcW w:w="7963" w:type="dxa"/>
            <w:gridSpan w:val="4"/>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hAnsi="Times New Roman"/>
              </w:rPr>
              <w:t>Fonte: Fundação Agência das Bacias PCJ (2013b)</w:t>
            </w:r>
          </w:p>
        </w:tc>
      </w:tr>
      <w:tr w:rsidR="00AF3B34" w:rsidTr="00AF3B34">
        <w:trPr>
          <w:trHeight w:val="315"/>
          <w:jc w:val="center"/>
        </w:trPr>
        <w:tc>
          <w:tcPr>
            <w:tcW w:w="7963" w:type="dxa"/>
            <w:gridSpan w:val="4"/>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w:t>
            </w:r>
            <w:r>
              <w:rPr>
                <w:rFonts w:ascii="Times New Roman" w:eastAsia="Times New Roman" w:hAnsi="Times New Roman"/>
                <w:color w:val="000000"/>
                <w:lang w:eastAsia="pt-BR"/>
              </w:rPr>
              <w:t>Nota: “Outros“ se refere a condomínios, hotéis, clubes e usuários agrícolas.</w:t>
            </w:r>
          </w:p>
        </w:tc>
      </w:tr>
    </w:tbl>
    <w:p w:rsidR="00AF3B34" w:rsidRDefault="00AF3B34" w:rsidP="00AF3B34">
      <w:pPr>
        <w:rPr>
          <w:sz w:val="24"/>
          <w:szCs w:val="24"/>
        </w:rPr>
      </w:pPr>
    </w:p>
    <w:p w:rsidR="00AF3B34" w:rsidRDefault="00AF3B34" w:rsidP="00AF3B34">
      <w:pPr>
        <w:pStyle w:val="Legenda"/>
      </w:pPr>
      <w:r>
        <w:t>Número de usuários, em cobrança, em rios de domínio mineiro em 2012.</w:t>
      </w:r>
    </w:p>
    <w:tbl>
      <w:tblPr>
        <w:tblW w:w="7938" w:type="dxa"/>
        <w:jc w:val="center"/>
        <w:tblInd w:w="54" w:type="dxa"/>
        <w:tblCellMar>
          <w:left w:w="70" w:type="dxa"/>
          <w:right w:w="70" w:type="dxa"/>
        </w:tblCellMar>
        <w:tblLook w:val="04A0"/>
      </w:tblPr>
      <w:tblGrid>
        <w:gridCol w:w="2268"/>
        <w:gridCol w:w="2835"/>
        <w:gridCol w:w="2828"/>
        <w:gridCol w:w="7"/>
      </w:tblGrid>
      <w:tr w:rsidR="00AF3B34" w:rsidTr="00AF3B34">
        <w:trPr>
          <w:trHeight w:val="411"/>
          <w:jc w:val="center"/>
        </w:trPr>
        <w:tc>
          <w:tcPr>
            <w:tcW w:w="2268" w:type="dxa"/>
            <w:vMerge w:val="restart"/>
            <w:tcBorders>
              <w:top w:val="single" w:sz="12" w:space="0" w:color="auto"/>
              <w:left w:val="nil"/>
              <w:bottom w:val="single" w:sz="12" w:space="0" w:color="000000"/>
              <w:right w:val="nil"/>
            </w:tcBorders>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Setores</w:t>
            </w:r>
          </w:p>
        </w:tc>
        <w:tc>
          <w:tcPr>
            <w:tcW w:w="2835" w:type="dxa"/>
            <w:vMerge w:val="restart"/>
            <w:tcBorders>
              <w:top w:val="single" w:sz="12" w:space="0" w:color="auto"/>
              <w:left w:val="nil"/>
              <w:bottom w:val="single" w:sz="12" w:space="0" w:color="000000"/>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Usuários</w:t>
            </w:r>
          </w:p>
        </w:tc>
        <w:tc>
          <w:tcPr>
            <w:tcW w:w="2835" w:type="dxa"/>
            <w:gridSpan w:val="2"/>
            <w:vMerge w:val="restart"/>
            <w:tcBorders>
              <w:top w:val="single" w:sz="12" w:space="0" w:color="auto"/>
              <w:left w:val="nil"/>
              <w:bottom w:val="single" w:sz="12" w:space="0" w:color="000000"/>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Participação do Setor no Valor Total Arrecadado</w:t>
            </w:r>
          </w:p>
        </w:tc>
      </w:tr>
      <w:tr w:rsidR="00AF3B34" w:rsidTr="00AF3B34">
        <w:trPr>
          <w:trHeight w:val="373"/>
          <w:jc w:val="center"/>
        </w:trPr>
        <w:tc>
          <w:tcPr>
            <w:tcW w:w="0" w:type="auto"/>
            <w:vMerge/>
            <w:tcBorders>
              <w:top w:val="single" w:sz="12" w:space="0" w:color="auto"/>
              <w:left w:val="nil"/>
              <w:bottom w:val="single" w:sz="12" w:space="0" w:color="000000"/>
              <w:right w:val="nil"/>
            </w:tcBorders>
            <w:vAlign w:val="center"/>
            <w:hideMark/>
          </w:tcPr>
          <w:p w:rsidR="00AF3B34" w:rsidRDefault="00AF3B34">
            <w:pPr>
              <w:spacing w:after="0"/>
              <w:rPr>
                <w:rFonts w:ascii="Times New Roman" w:eastAsia="Times New Roman" w:hAnsi="Times New Roman"/>
                <w:color w:val="000000"/>
                <w:lang w:eastAsia="pt-BR"/>
              </w:rPr>
            </w:pPr>
          </w:p>
        </w:tc>
        <w:tc>
          <w:tcPr>
            <w:tcW w:w="0" w:type="auto"/>
            <w:vMerge/>
            <w:tcBorders>
              <w:top w:val="single" w:sz="12" w:space="0" w:color="auto"/>
              <w:left w:val="nil"/>
              <w:bottom w:val="single" w:sz="12" w:space="0" w:color="000000"/>
              <w:right w:val="nil"/>
            </w:tcBorders>
            <w:vAlign w:val="center"/>
            <w:hideMark/>
          </w:tcPr>
          <w:p w:rsidR="00AF3B34" w:rsidRDefault="00AF3B34">
            <w:pPr>
              <w:spacing w:after="0"/>
              <w:rPr>
                <w:rFonts w:ascii="Times New Roman" w:eastAsia="Times New Roman" w:hAnsi="Times New Roman"/>
                <w:color w:val="000000"/>
                <w:lang w:eastAsia="pt-BR"/>
              </w:rPr>
            </w:pPr>
          </w:p>
        </w:tc>
        <w:tc>
          <w:tcPr>
            <w:tcW w:w="0" w:type="auto"/>
            <w:gridSpan w:val="2"/>
            <w:vMerge/>
            <w:tcBorders>
              <w:top w:val="single" w:sz="12" w:space="0" w:color="auto"/>
              <w:left w:val="nil"/>
              <w:bottom w:val="single" w:sz="12" w:space="0" w:color="000000"/>
              <w:right w:val="nil"/>
            </w:tcBorders>
            <w:vAlign w:val="center"/>
            <w:hideMark/>
          </w:tcPr>
          <w:p w:rsidR="00AF3B34" w:rsidRDefault="00AF3B34">
            <w:pPr>
              <w:spacing w:after="0"/>
              <w:rPr>
                <w:rFonts w:ascii="Times New Roman" w:eastAsia="Times New Roman" w:hAnsi="Times New Roman"/>
                <w:color w:val="000000"/>
                <w:lang w:eastAsia="pt-BR"/>
              </w:rPr>
            </w:pPr>
          </w:p>
        </w:tc>
      </w:tr>
      <w:tr w:rsidR="00AF3B34" w:rsidTr="00AF3B34">
        <w:trPr>
          <w:trHeight w:val="402"/>
          <w:jc w:val="center"/>
        </w:trPr>
        <w:tc>
          <w:tcPr>
            <w:tcW w:w="2268" w:type="dxa"/>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Industrial</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13</w:t>
            </w:r>
          </w:p>
        </w:tc>
        <w:tc>
          <w:tcPr>
            <w:tcW w:w="2835" w:type="dxa"/>
            <w:gridSpan w:val="2"/>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19%</w:t>
            </w:r>
          </w:p>
        </w:tc>
      </w:tr>
      <w:tr w:rsidR="00AF3B34" w:rsidTr="00AF3B34">
        <w:trPr>
          <w:trHeight w:val="402"/>
          <w:jc w:val="center"/>
        </w:trPr>
        <w:tc>
          <w:tcPr>
            <w:tcW w:w="2268" w:type="dxa"/>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Abastecimento Público</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w:t>
            </w:r>
          </w:p>
        </w:tc>
        <w:tc>
          <w:tcPr>
            <w:tcW w:w="2835" w:type="dxa"/>
            <w:gridSpan w:val="2"/>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80%</w:t>
            </w:r>
          </w:p>
        </w:tc>
      </w:tr>
      <w:tr w:rsidR="00AF3B34" w:rsidTr="00AF3B34">
        <w:trPr>
          <w:trHeight w:val="402"/>
          <w:jc w:val="center"/>
        </w:trPr>
        <w:tc>
          <w:tcPr>
            <w:tcW w:w="2268" w:type="dxa"/>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Transposição</w:t>
            </w:r>
          </w:p>
        </w:tc>
        <w:tc>
          <w:tcPr>
            <w:tcW w:w="2835" w:type="dxa"/>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w:t>
            </w:r>
          </w:p>
        </w:tc>
        <w:tc>
          <w:tcPr>
            <w:tcW w:w="2835" w:type="dxa"/>
            <w:gridSpan w:val="2"/>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w:t>
            </w:r>
          </w:p>
        </w:tc>
      </w:tr>
      <w:tr w:rsidR="00AF3B34" w:rsidTr="00AF3B34">
        <w:trPr>
          <w:trHeight w:val="402"/>
          <w:jc w:val="center"/>
        </w:trPr>
        <w:tc>
          <w:tcPr>
            <w:tcW w:w="2268" w:type="dxa"/>
            <w:tcBorders>
              <w:top w:val="nil"/>
              <w:left w:val="nil"/>
              <w:bottom w:val="single" w:sz="4" w:space="0" w:color="auto"/>
              <w:right w:val="nil"/>
            </w:tcBorders>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lastRenderedPageBreak/>
              <w:t>Outros*</w:t>
            </w:r>
          </w:p>
        </w:tc>
        <w:tc>
          <w:tcPr>
            <w:tcW w:w="2835" w:type="dxa"/>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7</w:t>
            </w:r>
          </w:p>
        </w:tc>
        <w:tc>
          <w:tcPr>
            <w:tcW w:w="2835" w:type="dxa"/>
            <w:gridSpan w:val="2"/>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w:t>
            </w:r>
          </w:p>
        </w:tc>
      </w:tr>
      <w:tr w:rsidR="00AF3B34" w:rsidTr="00AF3B34">
        <w:trPr>
          <w:trHeight w:val="402"/>
          <w:jc w:val="center"/>
        </w:trPr>
        <w:tc>
          <w:tcPr>
            <w:tcW w:w="2268" w:type="dxa"/>
            <w:tcBorders>
              <w:top w:val="single" w:sz="4" w:space="0" w:color="auto"/>
              <w:left w:val="nil"/>
              <w:bottom w:val="single" w:sz="12" w:space="0" w:color="auto"/>
              <w:right w:val="nil"/>
            </w:tcBorders>
            <w:vAlign w:val="center"/>
            <w:hideMark/>
          </w:tcPr>
          <w:p w:rsidR="00AF3B34" w:rsidRDefault="00AF3B34">
            <w:pPr>
              <w:spacing w:after="120"/>
              <w:rPr>
                <w:rFonts w:ascii="Times New Roman" w:eastAsia="Times New Roman" w:hAnsi="Times New Roman"/>
                <w:b/>
                <w:color w:val="000000"/>
                <w:lang w:eastAsia="pt-BR"/>
              </w:rPr>
            </w:pPr>
            <w:r>
              <w:rPr>
                <w:rFonts w:ascii="Times New Roman" w:eastAsia="Times New Roman" w:hAnsi="Times New Roman"/>
                <w:b/>
                <w:color w:val="000000"/>
                <w:lang w:eastAsia="pt-BR"/>
              </w:rPr>
              <w:t>Total</w:t>
            </w:r>
          </w:p>
        </w:tc>
        <w:tc>
          <w:tcPr>
            <w:tcW w:w="2835" w:type="dxa"/>
            <w:tcBorders>
              <w:top w:val="single" w:sz="4" w:space="0" w:color="auto"/>
              <w:left w:val="nil"/>
              <w:bottom w:val="single" w:sz="12"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24</w:t>
            </w:r>
          </w:p>
        </w:tc>
        <w:tc>
          <w:tcPr>
            <w:tcW w:w="2835" w:type="dxa"/>
            <w:gridSpan w:val="2"/>
            <w:tcBorders>
              <w:top w:val="single" w:sz="4" w:space="0" w:color="auto"/>
              <w:left w:val="nil"/>
              <w:bottom w:val="single" w:sz="12"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100%</w:t>
            </w:r>
          </w:p>
        </w:tc>
      </w:tr>
      <w:tr w:rsidR="00AF3B34" w:rsidTr="00AF3B34">
        <w:trPr>
          <w:gridAfter w:val="1"/>
          <w:wAfter w:w="7" w:type="dxa"/>
          <w:trHeight w:val="315"/>
          <w:jc w:val="center"/>
        </w:trPr>
        <w:tc>
          <w:tcPr>
            <w:tcW w:w="7931" w:type="dxa"/>
            <w:gridSpan w:val="3"/>
            <w:vAlign w:val="bottom"/>
            <w:hideMark/>
          </w:tcPr>
          <w:p w:rsidR="00AF3B34" w:rsidRDefault="00AF3B34">
            <w:pPr>
              <w:spacing w:after="120"/>
              <w:rPr>
                <w:rFonts w:ascii="Times New Roman" w:eastAsia="Times New Roman" w:hAnsi="Times New Roman"/>
                <w:color w:val="000000"/>
                <w:lang w:eastAsia="pt-BR"/>
              </w:rPr>
            </w:pPr>
            <w:r>
              <w:rPr>
                <w:rFonts w:ascii="Times New Roman" w:hAnsi="Times New Roman"/>
              </w:rPr>
              <w:t>Fundação Agência das Bacias PCJ (2013b)</w:t>
            </w:r>
          </w:p>
        </w:tc>
      </w:tr>
      <w:tr w:rsidR="00AF3B34" w:rsidTr="00AF3B34">
        <w:trPr>
          <w:gridAfter w:val="1"/>
          <w:wAfter w:w="7" w:type="dxa"/>
          <w:trHeight w:val="300"/>
          <w:jc w:val="center"/>
        </w:trPr>
        <w:tc>
          <w:tcPr>
            <w:tcW w:w="7931" w:type="dxa"/>
            <w:gridSpan w:val="3"/>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*Nota: “Outros” se referem a condomínios, hotéis, clubes e usuários agrícolas.</w:t>
            </w:r>
          </w:p>
        </w:tc>
      </w:tr>
    </w:tbl>
    <w:p w:rsidR="00AF3B34" w:rsidRDefault="00AF3B34" w:rsidP="00AF3B34">
      <w:pPr>
        <w:rPr>
          <w:sz w:val="24"/>
          <w:szCs w:val="24"/>
        </w:rPr>
      </w:pPr>
    </w:p>
    <w:p w:rsidR="00AF3B34" w:rsidRDefault="00AF3B34" w:rsidP="00AF3B34">
      <w:pPr>
        <w:pStyle w:val="Legenda"/>
      </w:pPr>
      <w:bookmarkStart w:id="4" w:name="_Toc372711060"/>
      <w:r>
        <w:t>Evolução na quantidade de usuários em cobrança em rios de domínio mineiro.</w:t>
      </w:r>
      <w:bookmarkEnd w:id="4"/>
    </w:p>
    <w:p w:rsidR="00AF3B34" w:rsidRDefault="00AF3B34" w:rsidP="00AF3B34">
      <w:pPr>
        <w:rPr>
          <w:lang w:eastAsia="pt-BR"/>
        </w:rPr>
      </w:pPr>
    </w:p>
    <w:tbl>
      <w:tblPr>
        <w:tblW w:w="4966" w:type="dxa"/>
        <w:jc w:val="center"/>
        <w:tblInd w:w="57" w:type="dxa"/>
        <w:tblBorders>
          <w:top w:val="single" w:sz="4" w:space="0" w:color="auto"/>
          <w:bottom w:val="single" w:sz="4" w:space="0" w:color="auto"/>
        </w:tblBorders>
        <w:tblCellMar>
          <w:left w:w="70" w:type="dxa"/>
          <w:right w:w="70" w:type="dxa"/>
        </w:tblCellMar>
        <w:tblLook w:val="04A0"/>
      </w:tblPr>
      <w:tblGrid>
        <w:gridCol w:w="2483"/>
        <w:gridCol w:w="2483"/>
      </w:tblGrid>
      <w:tr w:rsidR="00AF3B34" w:rsidTr="00AF3B34">
        <w:trPr>
          <w:trHeight w:val="283"/>
          <w:jc w:val="center"/>
        </w:trPr>
        <w:tc>
          <w:tcPr>
            <w:tcW w:w="2483" w:type="dxa"/>
            <w:tcBorders>
              <w:top w:val="single" w:sz="12" w:space="0" w:color="auto"/>
              <w:left w:val="nil"/>
              <w:bottom w:val="single" w:sz="12" w:space="0" w:color="auto"/>
              <w:right w:val="nil"/>
            </w:tcBorders>
            <w:noWrap/>
            <w:vAlign w:val="bottom"/>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Ano</w:t>
            </w:r>
          </w:p>
        </w:tc>
        <w:tc>
          <w:tcPr>
            <w:tcW w:w="2483" w:type="dxa"/>
            <w:tcBorders>
              <w:top w:val="single" w:sz="12" w:space="0" w:color="auto"/>
              <w:left w:val="nil"/>
              <w:bottom w:val="single" w:sz="12" w:space="0" w:color="auto"/>
              <w:right w:val="nil"/>
            </w:tcBorders>
            <w:noWrap/>
            <w:vAlign w:val="bottom"/>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Usuários</w:t>
            </w:r>
          </w:p>
        </w:tc>
      </w:tr>
      <w:tr w:rsidR="00AF3B34" w:rsidTr="00AF3B34">
        <w:trPr>
          <w:trHeight w:val="283"/>
          <w:jc w:val="center"/>
        </w:trPr>
        <w:tc>
          <w:tcPr>
            <w:tcW w:w="2483" w:type="dxa"/>
            <w:tcBorders>
              <w:top w:val="single" w:sz="12"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2010</w:t>
            </w:r>
          </w:p>
        </w:tc>
        <w:tc>
          <w:tcPr>
            <w:tcW w:w="2483" w:type="dxa"/>
            <w:tcBorders>
              <w:top w:val="single" w:sz="12"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19</w:t>
            </w:r>
          </w:p>
        </w:tc>
      </w:tr>
      <w:tr w:rsidR="00AF3B34" w:rsidTr="00AF3B34">
        <w:trPr>
          <w:trHeight w:val="283"/>
          <w:jc w:val="center"/>
        </w:trPr>
        <w:tc>
          <w:tcPr>
            <w:tcW w:w="2483" w:type="dxa"/>
            <w:tcBorders>
              <w:top w:val="nil"/>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2011</w:t>
            </w:r>
          </w:p>
        </w:tc>
        <w:tc>
          <w:tcPr>
            <w:tcW w:w="2483" w:type="dxa"/>
            <w:tcBorders>
              <w:top w:val="nil"/>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24</w:t>
            </w:r>
          </w:p>
        </w:tc>
      </w:tr>
      <w:tr w:rsidR="00AF3B34" w:rsidTr="00AF3B34">
        <w:trPr>
          <w:trHeight w:val="283"/>
          <w:jc w:val="center"/>
        </w:trPr>
        <w:tc>
          <w:tcPr>
            <w:tcW w:w="2483" w:type="dxa"/>
            <w:tcBorders>
              <w:top w:val="nil"/>
              <w:left w:val="nil"/>
              <w:bottom w:val="single" w:sz="12"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2012</w:t>
            </w:r>
          </w:p>
        </w:tc>
        <w:tc>
          <w:tcPr>
            <w:tcW w:w="2483" w:type="dxa"/>
            <w:tcBorders>
              <w:top w:val="nil"/>
              <w:left w:val="nil"/>
              <w:bottom w:val="single" w:sz="12"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24</w:t>
            </w:r>
          </w:p>
        </w:tc>
      </w:tr>
    </w:tbl>
    <w:p w:rsidR="00AF3B34" w:rsidRDefault="00AF3B34" w:rsidP="00AF3B34">
      <w:pPr>
        <w:ind w:firstLine="2268"/>
        <w:rPr>
          <w:rFonts w:ascii="Times New Roman" w:hAnsi="Times New Roman"/>
        </w:rPr>
      </w:pPr>
    </w:p>
    <w:tbl>
      <w:tblPr>
        <w:tblW w:w="7938" w:type="dxa"/>
        <w:jc w:val="center"/>
        <w:tblInd w:w="54" w:type="dxa"/>
        <w:tblCellMar>
          <w:left w:w="70" w:type="dxa"/>
          <w:right w:w="70" w:type="dxa"/>
        </w:tblCellMar>
        <w:tblLook w:val="04A0"/>
      </w:tblPr>
      <w:tblGrid>
        <w:gridCol w:w="7938"/>
      </w:tblGrid>
      <w:tr w:rsidR="00AF3B34" w:rsidTr="00AF3B34">
        <w:trPr>
          <w:trHeight w:val="315"/>
          <w:jc w:val="center"/>
        </w:trPr>
        <w:tc>
          <w:tcPr>
            <w:tcW w:w="7931" w:type="dxa"/>
            <w:vAlign w:val="bottom"/>
            <w:hideMark/>
          </w:tcPr>
          <w:p w:rsidR="00AF3B34" w:rsidRDefault="00AF3B34">
            <w:pPr>
              <w:spacing w:after="120"/>
              <w:rPr>
                <w:rFonts w:ascii="Times New Roman" w:eastAsia="Times New Roman" w:hAnsi="Times New Roman"/>
                <w:color w:val="000000"/>
                <w:lang w:eastAsia="pt-BR"/>
              </w:rPr>
            </w:pPr>
            <w:r>
              <w:rPr>
                <w:rFonts w:ascii="Times New Roman" w:hAnsi="Times New Roman"/>
              </w:rPr>
              <w:t>Fonte: Fundação Agência das Bacias PCJ (2013b)</w:t>
            </w:r>
          </w:p>
        </w:tc>
      </w:tr>
    </w:tbl>
    <w:p w:rsidR="00AF3B34" w:rsidRDefault="00AF3B34" w:rsidP="00AF3B34">
      <w:pPr>
        <w:rPr>
          <w:b/>
          <w:sz w:val="36"/>
          <w:szCs w:val="36"/>
        </w:rPr>
      </w:pPr>
    </w:p>
    <w:p w:rsidR="00AF3B34" w:rsidRDefault="00AF3B34" w:rsidP="00AF3B34">
      <w:pPr>
        <w:rPr>
          <w:b/>
          <w:sz w:val="36"/>
          <w:szCs w:val="36"/>
        </w:rPr>
      </w:pPr>
      <w:r>
        <w:rPr>
          <w:b/>
          <w:sz w:val="36"/>
          <w:szCs w:val="36"/>
        </w:rPr>
        <w:t>PREMISSAS PARA A TOMADA DE DECISÃO</w:t>
      </w:r>
    </w:p>
    <w:p w:rsidR="00AF3B34" w:rsidRDefault="00AF3B34" w:rsidP="00C67BAB">
      <w:pPr>
        <w:spacing w:after="240"/>
        <w:jc w:val="both"/>
        <w:rPr>
          <w:rFonts w:ascii="Times New Roman" w:hAnsi="Times New Roman"/>
          <w:sz w:val="24"/>
          <w:szCs w:val="24"/>
        </w:rPr>
      </w:pPr>
      <w:r>
        <w:rPr>
          <w:rFonts w:ascii="Times New Roman" w:hAnsi="Times New Roman"/>
          <w:sz w:val="24"/>
          <w:szCs w:val="24"/>
        </w:rPr>
        <w:t>Durante as discussões no âmbito do GT-Cobrança foram considerados os potenciais ganhos de arrecadação com o aumento das vazões captadas, conforme previsão de crescimento populacional dos municípios e da transposição para a Região Metropolitana de São Paulo – RMSP, através do Sistema Cantareira; assim como as potenciais perdas de arrecadação com a evolução na coleta e tratamento dos esgotos e as decorrentes do combate às perdas físicas de água nos sistemas de abastecimento das cidades. Mantendo-se os valores (2012) para os PUBs, ocorrerá perda na arrecadação efetiva (valores monetários) de aproximadamente 9% entre 2012 e 2020, ou seja, parte-se de uma previsão de arrecadação, em 2012, de R$ 34,9 milhões para R$ 31,7 milhões, em 2020.</w:t>
      </w:r>
    </w:p>
    <w:p w:rsidR="00AF3B34" w:rsidRDefault="00AF3B34" w:rsidP="00C67BAB">
      <w:pPr>
        <w:spacing w:after="240"/>
        <w:jc w:val="both"/>
        <w:rPr>
          <w:rFonts w:ascii="Times New Roman" w:eastAsia="Times New Roman" w:hAnsi="Times New Roman"/>
          <w:color w:val="000000"/>
          <w:lang w:eastAsia="pt-BR"/>
        </w:rPr>
      </w:pPr>
      <w:r>
        <w:rPr>
          <w:rFonts w:ascii="Times New Roman" w:hAnsi="Times New Roman"/>
          <w:sz w:val="24"/>
          <w:szCs w:val="24"/>
        </w:rPr>
        <w:t xml:space="preserve">Por outro lado, as necessidades (Plano de Investimentos 2010-2020) orçado em 2008 era de R$  </w:t>
      </w:r>
      <w:r>
        <w:rPr>
          <w:rFonts w:ascii="Times New Roman" w:eastAsia="Times New Roman" w:hAnsi="Times New Roman"/>
          <w:b/>
          <w:color w:val="000000"/>
          <w:lang w:eastAsia="pt-BR"/>
        </w:rPr>
        <w:t xml:space="preserve">2.753.837.302,94 </w:t>
      </w:r>
      <w:r>
        <w:rPr>
          <w:rFonts w:ascii="Times New Roman" w:eastAsia="Times New Roman" w:hAnsi="Times New Roman"/>
          <w:color w:val="000000"/>
          <w:lang w:eastAsia="pt-BR"/>
        </w:rPr>
        <w:t>e com o passar dos anos</w:t>
      </w:r>
      <w:r>
        <w:rPr>
          <w:rFonts w:ascii="Times New Roman" w:eastAsia="Times New Roman" w:hAnsi="Times New Roman"/>
          <w:b/>
          <w:color w:val="000000"/>
          <w:lang w:eastAsia="pt-BR"/>
        </w:rPr>
        <w:t xml:space="preserve"> </w:t>
      </w:r>
      <w:r>
        <w:rPr>
          <w:rFonts w:ascii="Times New Roman" w:hAnsi="Times New Roman"/>
          <w:sz w:val="24"/>
          <w:szCs w:val="24"/>
        </w:rPr>
        <w:t xml:space="preserve">também aumentava, </w:t>
      </w:r>
      <w:r>
        <w:rPr>
          <w:rFonts w:ascii="Times New Roman" w:eastAsia="Times New Roman" w:hAnsi="Times New Roman"/>
          <w:color w:val="000000"/>
          <w:lang w:eastAsia="pt-BR"/>
        </w:rPr>
        <w:t>principalmente porque nos 7 anos de cobrança os índices inflacionários atingiram mais de 40%.</w:t>
      </w:r>
    </w:p>
    <w:p w:rsidR="00AF3B34" w:rsidRDefault="00AF3B34" w:rsidP="00C67BAB">
      <w:pPr>
        <w:spacing w:after="240"/>
        <w:jc w:val="both"/>
        <w:rPr>
          <w:rFonts w:ascii="Times New Roman" w:eastAsia="Times New Roman" w:hAnsi="Times New Roman"/>
          <w:color w:val="000000"/>
          <w:lang w:eastAsia="pt-BR"/>
        </w:rPr>
      </w:pPr>
      <w:r>
        <w:rPr>
          <w:rFonts w:ascii="Times New Roman" w:eastAsia="Times New Roman" w:hAnsi="Times New Roman"/>
          <w:color w:val="000000"/>
          <w:lang w:eastAsia="pt-BR"/>
        </w:rPr>
        <w:t>Desta forma a arrecadação com as Cobranças PCJ em 2012, somavam aproximadamente R$ 35 milhões de reais que correspondia a aproximadamente à 14,6% das necessidades estabelecidas no Plano das Bacias e com a manutenção dos mesmos PUB’s de 2006 chegariam a 2020 com um poder de compra equivalente a 8% se comparado com 2008.</w:t>
      </w:r>
    </w:p>
    <w:p w:rsidR="00AF3B34" w:rsidRDefault="00AF3B34" w:rsidP="00C67BAB">
      <w:pPr>
        <w:spacing w:after="240"/>
        <w:jc w:val="both"/>
        <w:rPr>
          <w:rFonts w:ascii="Times New Roman" w:eastAsia="Times New Roman" w:hAnsi="Times New Roman"/>
          <w:color w:val="000000"/>
          <w:lang w:eastAsia="pt-BR"/>
        </w:rPr>
      </w:pPr>
      <w:r>
        <w:rPr>
          <w:rFonts w:ascii="Times New Roman" w:eastAsia="Times New Roman" w:hAnsi="Times New Roman"/>
          <w:color w:val="000000"/>
          <w:lang w:eastAsia="pt-BR"/>
        </w:rPr>
        <w:t>Assim, o que foi estabelecido nas discussões é que se buscaria, de forma, gradativa, recompor o poder de investimento dos Comitês PCJ, com atualização dos valores dos PUB’s de forma a atingir, em 2020, os mesmos 20% estabelecidos em 2008.</w:t>
      </w:r>
    </w:p>
    <w:p w:rsidR="00223F92" w:rsidRPr="00C67BAB" w:rsidRDefault="00223F92" w:rsidP="00C67BAB">
      <w:pPr>
        <w:spacing w:after="240"/>
        <w:jc w:val="both"/>
        <w:rPr>
          <w:rFonts w:ascii="Times New Roman" w:eastAsia="Times New Roman" w:hAnsi="Times New Roman"/>
          <w:color w:val="000000"/>
          <w:lang w:eastAsia="pt-BR"/>
        </w:rPr>
      </w:pPr>
    </w:p>
    <w:p w:rsidR="00AF3B34" w:rsidRDefault="00AF3B34" w:rsidP="00AF3B34">
      <w:pPr>
        <w:rPr>
          <w:b/>
          <w:sz w:val="36"/>
          <w:szCs w:val="36"/>
        </w:rPr>
      </w:pPr>
      <w:r>
        <w:rPr>
          <w:b/>
          <w:sz w:val="36"/>
          <w:szCs w:val="36"/>
        </w:rPr>
        <w:lastRenderedPageBreak/>
        <w:t>VALORES DOS PREÇOS UNITÁRIOS BÁSICOS – PUB’s</w:t>
      </w:r>
    </w:p>
    <w:p w:rsidR="00AF3B34" w:rsidRDefault="00AF3B34" w:rsidP="00AF3B34">
      <w:pPr>
        <w:rPr>
          <w:sz w:val="24"/>
          <w:szCs w:val="24"/>
        </w:rPr>
      </w:pPr>
    </w:p>
    <w:p w:rsidR="00AF3B34" w:rsidRDefault="00AF3B34" w:rsidP="00AF3B34">
      <w:pPr>
        <w:pStyle w:val="Legenda"/>
      </w:pPr>
      <w:bookmarkStart w:id="5" w:name="_Toc372711067"/>
      <w:r>
        <w:t xml:space="preserve">Valores dos PUBs aprovados em 2005 e </w:t>
      </w:r>
      <w:r>
        <w:rPr>
          <w:b/>
        </w:rPr>
        <w:t>vigentes desde 2006</w:t>
      </w:r>
      <w:r>
        <w:t xml:space="preserve"> </w:t>
      </w:r>
      <w:bookmarkEnd w:id="5"/>
    </w:p>
    <w:tbl>
      <w:tblPr>
        <w:tblW w:w="9514" w:type="dxa"/>
        <w:tblInd w:w="54" w:type="dxa"/>
        <w:tblCellMar>
          <w:left w:w="70" w:type="dxa"/>
          <w:right w:w="70" w:type="dxa"/>
        </w:tblCellMar>
        <w:tblLook w:val="04A0"/>
      </w:tblPr>
      <w:tblGrid>
        <w:gridCol w:w="5359"/>
        <w:gridCol w:w="1745"/>
        <w:gridCol w:w="2410"/>
      </w:tblGrid>
      <w:tr w:rsidR="00AF3B34" w:rsidTr="00AF3B34">
        <w:trPr>
          <w:trHeight w:val="730"/>
        </w:trPr>
        <w:tc>
          <w:tcPr>
            <w:tcW w:w="5359" w:type="dxa"/>
            <w:tcBorders>
              <w:top w:val="single" w:sz="12" w:space="0" w:color="auto"/>
              <w:left w:val="nil"/>
              <w:bottom w:val="single" w:sz="12" w:space="0" w:color="auto"/>
              <w:right w:val="nil"/>
            </w:tcBorders>
            <w:noWrap/>
            <w:vAlign w:val="center"/>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Tipos de Uso</w:t>
            </w:r>
          </w:p>
        </w:tc>
        <w:tc>
          <w:tcPr>
            <w:tcW w:w="1745" w:type="dxa"/>
            <w:tcBorders>
              <w:top w:val="single" w:sz="12" w:space="0" w:color="auto"/>
              <w:left w:val="nil"/>
              <w:bottom w:val="single" w:sz="12" w:space="0" w:color="auto"/>
              <w:right w:val="nil"/>
            </w:tcBorders>
            <w:noWrap/>
            <w:vAlign w:val="center"/>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Valores (R$)</w:t>
            </w:r>
          </w:p>
        </w:tc>
        <w:tc>
          <w:tcPr>
            <w:tcW w:w="2410" w:type="dxa"/>
            <w:tcBorders>
              <w:top w:val="single" w:sz="12" w:space="0" w:color="auto"/>
              <w:left w:val="nil"/>
              <w:bottom w:val="single" w:sz="12" w:space="0" w:color="auto"/>
              <w:right w:val="nil"/>
            </w:tcBorders>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 xml:space="preserve">Unidades </w:t>
            </w:r>
          </w:p>
        </w:tc>
      </w:tr>
      <w:tr w:rsidR="00AF3B34" w:rsidTr="00AF3B34">
        <w:trPr>
          <w:trHeight w:val="402"/>
        </w:trPr>
        <w:tc>
          <w:tcPr>
            <w:tcW w:w="5359" w:type="dxa"/>
            <w:noWrap/>
            <w:vAlign w:val="bottom"/>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 xml:space="preserve">Captação de Água Bruta Superficial </w:t>
            </w:r>
          </w:p>
        </w:tc>
        <w:tc>
          <w:tcPr>
            <w:tcW w:w="1745" w:type="dxa"/>
            <w:noWrap/>
            <w:vAlign w:val="center"/>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0,01</w:t>
            </w:r>
          </w:p>
        </w:tc>
        <w:tc>
          <w:tcPr>
            <w:tcW w:w="2410"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m</w:t>
            </w:r>
            <w:r>
              <w:rPr>
                <w:rFonts w:ascii="Times New Roman" w:eastAsia="Times New Roman" w:hAnsi="Times New Roman"/>
                <w:sz w:val="24"/>
                <w:szCs w:val="24"/>
                <w:vertAlign w:val="superscript"/>
                <w:lang w:eastAsia="pt-BR"/>
              </w:rPr>
              <w:t>3</w:t>
            </w:r>
          </w:p>
        </w:tc>
      </w:tr>
      <w:tr w:rsidR="00AF3B34" w:rsidTr="00AF3B34">
        <w:trPr>
          <w:trHeight w:val="402"/>
        </w:trPr>
        <w:tc>
          <w:tcPr>
            <w:tcW w:w="5359" w:type="dxa"/>
            <w:noWrap/>
            <w:vAlign w:val="bottom"/>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Consumo de Água Bruta</w:t>
            </w:r>
          </w:p>
        </w:tc>
        <w:tc>
          <w:tcPr>
            <w:tcW w:w="1745" w:type="dxa"/>
            <w:noWrap/>
            <w:vAlign w:val="center"/>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0,02</w:t>
            </w:r>
          </w:p>
        </w:tc>
        <w:tc>
          <w:tcPr>
            <w:tcW w:w="2410"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m</w:t>
            </w:r>
            <w:r>
              <w:rPr>
                <w:rFonts w:ascii="Times New Roman" w:eastAsia="Times New Roman" w:hAnsi="Times New Roman"/>
                <w:sz w:val="24"/>
                <w:szCs w:val="24"/>
                <w:vertAlign w:val="superscript"/>
                <w:lang w:eastAsia="pt-BR"/>
              </w:rPr>
              <w:t xml:space="preserve">3 </w:t>
            </w:r>
          </w:p>
        </w:tc>
      </w:tr>
      <w:tr w:rsidR="00AF3B34" w:rsidTr="00AF3B34">
        <w:trPr>
          <w:trHeight w:val="402"/>
        </w:trPr>
        <w:tc>
          <w:tcPr>
            <w:tcW w:w="5359" w:type="dxa"/>
            <w:noWrap/>
            <w:vAlign w:val="bottom"/>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 xml:space="preserve">Captação de Água Bruta Subterrânea </w:t>
            </w:r>
          </w:p>
        </w:tc>
        <w:tc>
          <w:tcPr>
            <w:tcW w:w="1745" w:type="dxa"/>
            <w:noWrap/>
            <w:vAlign w:val="center"/>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0,0115</w:t>
            </w:r>
          </w:p>
        </w:tc>
        <w:tc>
          <w:tcPr>
            <w:tcW w:w="2410"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m</w:t>
            </w:r>
            <w:r>
              <w:rPr>
                <w:rFonts w:ascii="Times New Roman" w:eastAsia="Times New Roman" w:hAnsi="Times New Roman"/>
                <w:sz w:val="24"/>
                <w:szCs w:val="24"/>
                <w:vertAlign w:val="superscript"/>
                <w:lang w:eastAsia="pt-BR"/>
              </w:rPr>
              <w:t xml:space="preserve">3 </w:t>
            </w:r>
          </w:p>
        </w:tc>
      </w:tr>
      <w:tr w:rsidR="00AF3B34" w:rsidTr="00AF3B34">
        <w:trPr>
          <w:trHeight w:val="402"/>
        </w:trPr>
        <w:tc>
          <w:tcPr>
            <w:tcW w:w="5359" w:type="dxa"/>
            <w:noWrap/>
            <w:vAlign w:val="bottom"/>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Lançamento de Carga Orgânica (DBO</w:t>
            </w:r>
            <w:r>
              <w:rPr>
                <w:rFonts w:ascii="Times New Roman" w:eastAsia="Times New Roman" w:hAnsi="Times New Roman"/>
                <w:sz w:val="24"/>
                <w:szCs w:val="24"/>
                <w:vertAlign w:val="subscript"/>
                <w:lang w:eastAsia="pt-BR"/>
              </w:rPr>
              <w:t>5,20</w:t>
            </w:r>
            <w:r>
              <w:rPr>
                <w:rFonts w:ascii="Times New Roman" w:eastAsia="Times New Roman" w:hAnsi="Times New Roman"/>
                <w:sz w:val="24"/>
                <w:szCs w:val="24"/>
                <w:lang w:eastAsia="pt-BR"/>
              </w:rPr>
              <w:t xml:space="preserve">) </w:t>
            </w:r>
          </w:p>
        </w:tc>
        <w:tc>
          <w:tcPr>
            <w:tcW w:w="1745" w:type="dxa"/>
            <w:noWrap/>
            <w:vAlign w:val="center"/>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0,1</w:t>
            </w:r>
          </w:p>
        </w:tc>
        <w:tc>
          <w:tcPr>
            <w:tcW w:w="2410"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kg</w:t>
            </w:r>
            <w:r>
              <w:rPr>
                <w:rFonts w:ascii="Times New Roman" w:eastAsia="Times New Roman" w:hAnsi="Times New Roman"/>
                <w:sz w:val="24"/>
                <w:szCs w:val="24"/>
                <w:vertAlign w:val="superscript"/>
                <w:lang w:eastAsia="pt-BR"/>
              </w:rPr>
              <w:t xml:space="preserve"> </w:t>
            </w:r>
          </w:p>
        </w:tc>
      </w:tr>
      <w:tr w:rsidR="00AF3B34" w:rsidTr="00AF3B34">
        <w:trPr>
          <w:trHeight w:val="402"/>
        </w:trPr>
        <w:tc>
          <w:tcPr>
            <w:tcW w:w="5359" w:type="dxa"/>
            <w:tcBorders>
              <w:top w:val="nil"/>
              <w:left w:val="nil"/>
              <w:bottom w:val="single" w:sz="12" w:space="0" w:color="auto"/>
              <w:right w:val="nil"/>
            </w:tcBorders>
            <w:noWrap/>
            <w:vAlign w:val="bottom"/>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Transposição de Bacia</w:t>
            </w:r>
          </w:p>
        </w:tc>
        <w:tc>
          <w:tcPr>
            <w:tcW w:w="1745" w:type="dxa"/>
            <w:tcBorders>
              <w:top w:val="nil"/>
              <w:left w:val="nil"/>
              <w:bottom w:val="single" w:sz="12" w:space="0" w:color="auto"/>
              <w:right w:val="nil"/>
            </w:tcBorders>
            <w:noWrap/>
            <w:vAlign w:val="center"/>
            <w:hideMark/>
          </w:tcPr>
          <w:p w:rsidR="00AF3B34" w:rsidRDefault="00AF3B34">
            <w:pPr>
              <w:spacing w:after="120"/>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0,015</w:t>
            </w:r>
          </w:p>
        </w:tc>
        <w:tc>
          <w:tcPr>
            <w:tcW w:w="2410" w:type="dxa"/>
            <w:tcBorders>
              <w:top w:val="nil"/>
              <w:left w:val="nil"/>
              <w:bottom w:val="single" w:sz="12" w:space="0" w:color="auto"/>
              <w:right w:val="nil"/>
            </w:tcBorders>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m</w:t>
            </w:r>
            <w:r>
              <w:rPr>
                <w:rFonts w:ascii="Times New Roman" w:eastAsia="Times New Roman" w:hAnsi="Times New Roman"/>
                <w:sz w:val="24"/>
                <w:szCs w:val="24"/>
                <w:vertAlign w:val="superscript"/>
                <w:lang w:eastAsia="pt-BR"/>
              </w:rPr>
              <w:t xml:space="preserve">3 </w:t>
            </w:r>
          </w:p>
        </w:tc>
      </w:tr>
      <w:tr w:rsidR="00AF3B34" w:rsidTr="00AF3B34">
        <w:trPr>
          <w:trHeight w:val="315"/>
        </w:trPr>
        <w:tc>
          <w:tcPr>
            <w:tcW w:w="9514" w:type="dxa"/>
            <w:gridSpan w:val="3"/>
            <w:noWrap/>
            <w:hideMark/>
          </w:tcPr>
          <w:p w:rsidR="00AF3B34" w:rsidRDefault="00AF3B34">
            <w:pPr>
              <w:spacing w:after="120"/>
              <w:jc w:val="both"/>
              <w:rPr>
                <w:rFonts w:eastAsia="Times New Roman"/>
                <w:color w:val="000000"/>
                <w:lang w:eastAsia="pt-BR"/>
              </w:rPr>
            </w:pPr>
            <w:r>
              <w:rPr>
                <w:rFonts w:ascii="Times New Roman" w:eastAsia="Times New Roman" w:hAnsi="Times New Roman"/>
                <w:color w:val="000000"/>
                <w:lang w:eastAsia="pt-BR"/>
              </w:rPr>
              <w:t>Fonte: Comitês PCJ (2006).</w:t>
            </w:r>
          </w:p>
        </w:tc>
      </w:tr>
    </w:tbl>
    <w:p w:rsidR="00AF3B34" w:rsidRDefault="00AF3B34" w:rsidP="00AF3B34">
      <w:pPr>
        <w:rPr>
          <w:sz w:val="24"/>
          <w:szCs w:val="24"/>
        </w:rPr>
      </w:pPr>
    </w:p>
    <w:p w:rsidR="00AF3B34" w:rsidRDefault="00AF3B34" w:rsidP="00AF3B34">
      <w:pPr>
        <w:pStyle w:val="Legenda"/>
      </w:pPr>
      <w:bookmarkStart w:id="6" w:name="_Toc372711068"/>
      <w:r>
        <w:t xml:space="preserve">Valores </w:t>
      </w:r>
      <w:r>
        <w:rPr>
          <w:b/>
        </w:rPr>
        <w:t>atualizados</w:t>
      </w:r>
      <w:r>
        <w:t xml:space="preserve"> para os PUBs – 2013 a 2016.</w:t>
      </w:r>
      <w:bookmarkEnd w:id="6"/>
    </w:p>
    <w:tbl>
      <w:tblPr>
        <w:tblW w:w="9356" w:type="dxa"/>
        <w:tblInd w:w="70" w:type="dxa"/>
        <w:tblCellMar>
          <w:left w:w="70" w:type="dxa"/>
          <w:right w:w="70" w:type="dxa"/>
        </w:tblCellMar>
        <w:tblLook w:val="04A0"/>
      </w:tblPr>
      <w:tblGrid>
        <w:gridCol w:w="2536"/>
        <w:gridCol w:w="1492"/>
        <w:gridCol w:w="1217"/>
        <w:gridCol w:w="1559"/>
        <w:gridCol w:w="1276"/>
        <w:gridCol w:w="1276"/>
      </w:tblGrid>
      <w:tr w:rsidR="00AF3B34" w:rsidTr="00AF3B34">
        <w:trPr>
          <w:trHeight w:val="315"/>
        </w:trPr>
        <w:tc>
          <w:tcPr>
            <w:tcW w:w="2536" w:type="dxa"/>
            <w:vMerge w:val="restart"/>
            <w:tcBorders>
              <w:top w:val="single" w:sz="4" w:space="0" w:color="auto"/>
              <w:left w:val="nil"/>
              <w:bottom w:val="single" w:sz="4" w:space="0" w:color="auto"/>
              <w:right w:val="nil"/>
            </w:tcBorders>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Parâmetros</w:t>
            </w:r>
          </w:p>
        </w:tc>
        <w:tc>
          <w:tcPr>
            <w:tcW w:w="1492" w:type="dxa"/>
            <w:vMerge w:val="restart"/>
            <w:tcBorders>
              <w:top w:val="single" w:sz="4" w:space="0" w:color="auto"/>
              <w:left w:val="nil"/>
              <w:bottom w:val="single" w:sz="4" w:space="0" w:color="auto"/>
              <w:right w:val="nil"/>
            </w:tcBorders>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Unidade</w:t>
            </w:r>
          </w:p>
        </w:tc>
        <w:tc>
          <w:tcPr>
            <w:tcW w:w="5328" w:type="dxa"/>
            <w:gridSpan w:val="4"/>
            <w:tcBorders>
              <w:top w:val="single" w:sz="4" w:space="0" w:color="auto"/>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Valor do PUB (R$)</w:t>
            </w:r>
          </w:p>
        </w:tc>
      </w:tr>
      <w:tr w:rsidR="00AF3B34" w:rsidTr="00AF3B34">
        <w:trPr>
          <w:trHeight w:val="315"/>
        </w:trPr>
        <w:tc>
          <w:tcPr>
            <w:tcW w:w="0" w:type="auto"/>
            <w:vMerge/>
            <w:tcBorders>
              <w:top w:val="single" w:sz="4" w:space="0" w:color="auto"/>
              <w:left w:val="nil"/>
              <w:bottom w:val="single" w:sz="4" w:space="0" w:color="auto"/>
              <w:right w:val="nil"/>
            </w:tcBorders>
            <w:vAlign w:val="center"/>
            <w:hideMark/>
          </w:tcPr>
          <w:p w:rsidR="00AF3B34" w:rsidRDefault="00AF3B34">
            <w:pPr>
              <w:spacing w:after="0"/>
              <w:rPr>
                <w:rFonts w:ascii="Times New Roman" w:eastAsia="Times New Roman" w:hAnsi="Times New Roman"/>
                <w:color w:val="000000"/>
                <w:lang w:eastAsia="pt-BR"/>
              </w:rPr>
            </w:pPr>
          </w:p>
        </w:tc>
        <w:tc>
          <w:tcPr>
            <w:tcW w:w="0" w:type="auto"/>
            <w:vMerge/>
            <w:tcBorders>
              <w:top w:val="single" w:sz="4" w:space="0" w:color="auto"/>
              <w:left w:val="nil"/>
              <w:bottom w:val="single" w:sz="4" w:space="0" w:color="auto"/>
              <w:right w:val="nil"/>
            </w:tcBorders>
            <w:vAlign w:val="center"/>
            <w:hideMark/>
          </w:tcPr>
          <w:p w:rsidR="00AF3B34" w:rsidRDefault="00AF3B34">
            <w:pPr>
              <w:spacing w:after="0"/>
              <w:rPr>
                <w:rFonts w:ascii="Times New Roman" w:eastAsia="Times New Roman" w:hAnsi="Times New Roman"/>
                <w:color w:val="000000"/>
                <w:lang w:eastAsia="pt-BR"/>
              </w:rPr>
            </w:pPr>
          </w:p>
        </w:tc>
        <w:tc>
          <w:tcPr>
            <w:tcW w:w="1217" w:type="dxa"/>
            <w:tcBorders>
              <w:top w:val="nil"/>
              <w:left w:val="nil"/>
              <w:bottom w:val="single" w:sz="4" w:space="0" w:color="auto"/>
              <w:right w:val="nil"/>
            </w:tcBorders>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2013</w:t>
            </w:r>
          </w:p>
        </w:tc>
        <w:tc>
          <w:tcPr>
            <w:tcW w:w="1559" w:type="dxa"/>
            <w:tcBorders>
              <w:top w:val="nil"/>
              <w:left w:val="nil"/>
              <w:bottom w:val="single" w:sz="4" w:space="0" w:color="auto"/>
              <w:right w:val="nil"/>
            </w:tcBorders>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2014</w:t>
            </w:r>
          </w:p>
        </w:tc>
        <w:tc>
          <w:tcPr>
            <w:tcW w:w="1276" w:type="dxa"/>
            <w:tcBorders>
              <w:top w:val="nil"/>
              <w:left w:val="nil"/>
              <w:bottom w:val="single" w:sz="4" w:space="0" w:color="auto"/>
              <w:right w:val="nil"/>
            </w:tcBorders>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2015</w:t>
            </w:r>
          </w:p>
        </w:tc>
        <w:tc>
          <w:tcPr>
            <w:tcW w:w="1276" w:type="dxa"/>
            <w:tcBorders>
              <w:top w:val="nil"/>
              <w:left w:val="nil"/>
              <w:bottom w:val="single" w:sz="4" w:space="0" w:color="auto"/>
              <w:right w:val="nil"/>
            </w:tcBorders>
            <w:noWrap/>
            <w:vAlign w:val="center"/>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2016</w:t>
            </w:r>
          </w:p>
        </w:tc>
      </w:tr>
      <w:tr w:rsidR="00AF3B34" w:rsidTr="00AF3B34">
        <w:trPr>
          <w:trHeight w:val="402"/>
        </w:trPr>
        <w:tc>
          <w:tcPr>
            <w:tcW w:w="2536" w:type="dxa"/>
            <w:tcBorders>
              <w:top w:val="single" w:sz="4" w:space="0" w:color="auto"/>
              <w:left w:val="nil"/>
              <w:bottom w:val="nil"/>
              <w:right w:val="nil"/>
            </w:tcBorders>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Captação Superficial</w:t>
            </w:r>
          </w:p>
        </w:tc>
        <w:tc>
          <w:tcPr>
            <w:tcW w:w="1492" w:type="dxa"/>
            <w:tcBorders>
              <w:top w:val="single" w:sz="4" w:space="0" w:color="auto"/>
              <w:left w:val="nil"/>
              <w:bottom w:val="nil"/>
              <w:right w:val="nil"/>
            </w:tcBorders>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m</w:t>
            </w:r>
            <w:r>
              <w:rPr>
                <w:rFonts w:ascii="Times New Roman" w:eastAsia="Times New Roman" w:hAnsi="Times New Roman"/>
                <w:sz w:val="24"/>
                <w:szCs w:val="24"/>
                <w:vertAlign w:val="superscript"/>
                <w:lang w:eastAsia="pt-BR"/>
              </w:rPr>
              <w:t>3</w:t>
            </w:r>
          </w:p>
        </w:tc>
        <w:tc>
          <w:tcPr>
            <w:tcW w:w="1217" w:type="dxa"/>
            <w:tcBorders>
              <w:top w:val="single" w:sz="4" w:space="0" w:color="auto"/>
              <w:left w:val="nil"/>
              <w:bottom w:val="nil"/>
              <w:right w:val="nil"/>
            </w:tcBorders>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0,010</w:t>
            </w:r>
          </w:p>
        </w:tc>
        <w:tc>
          <w:tcPr>
            <w:tcW w:w="1559" w:type="dxa"/>
            <w:tcBorders>
              <w:top w:val="single" w:sz="4" w:space="0" w:color="auto"/>
              <w:left w:val="nil"/>
              <w:bottom w:val="nil"/>
              <w:right w:val="nil"/>
            </w:tcBorders>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0,0108</w:t>
            </w:r>
          </w:p>
        </w:tc>
        <w:tc>
          <w:tcPr>
            <w:tcW w:w="1276" w:type="dxa"/>
            <w:tcBorders>
              <w:top w:val="single" w:sz="4" w:space="0" w:color="auto"/>
              <w:left w:val="nil"/>
              <w:bottom w:val="nil"/>
              <w:right w:val="nil"/>
            </w:tcBorders>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0,0118</w:t>
            </w:r>
          </w:p>
        </w:tc>
        <w:tc>
          <w:tcPr>
            <w:tcW w:w="1276" w:type="dxa"/>
            <w:tcBorders>
              <w:top w:val="single" w:sz="4" w:space="0" w:color="auto"/>
              <w:left w:val="nil"/>
              <w:bottom w:val="nil"/>
              <w:right w:val="nil"/>
            </w:tcBorders>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0,0127</w:t>
            </w:r>
          </w:p>
        </w:tc>
      </w:tr>
      <w:tr w:rsidR="00AF3B34" w:rsidTr="00AF3B34">
        <w:trPr>
          <w:trHeight w:val="402"/>
        </w:trPr>
        <w:tc>
          <w:tcPr>
            <w:tcW w:w="2536" w:type="dxa"/>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Captação Subterrânea</w:t>
            </w:r>
          </w:p>
        </w:tc>
        <w:tc>
          <w:tcPr>
            <w:tcW w:w="1492" w:type="dxa"/>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m</w:t>
            </w:r>
            <w:r>
              <w:rPr>
                <w:rFonts w:ascii="Times New Roman" w:eastAsia="Times New Roman" w:hAnsi="Times New Roman"/>
                <w:sz w:val="24"/>
                <w:szCs w:val="24"/>
                <w:vertAlign w:val="superscript"/>
                <w:lang w:eastAsia="pt-BR"/>
              </w:rPr>
              <w:t>3</w:t>
            </w:r>
          </w:p>
        </w:tc>
        <w:tc>
          <w:tcPr>
            <w:tcW w:w="1217"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0,0115</w:t>
            </w:r>
          </w:p>
        </w:tc>
        <w:tc>
          <w:tcPr>
            <w:tcW w:w="1559"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0,0125</w:t>
            </w:r>
          </w:p>
        </w:tc>
        <w:tc>
          <w:tcPr>
            <w:tcW w:w="1276"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0,0135</w:t>
            </w:r>
          </w:p>
        </w:tc>
        <w:tc>
          <w:tcPr>
            <w:tcW w:w="1276"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0,0146</w:t>
            </w:r>
          </w:p>
        </w:tc>
      </w:tr>
      <w:tr w:rsidR="00AF3B34" w:rsidTr="00AF3B34">
        <w:trPr>
          <w:trHeight w:val="402"/>
        </w:trPr>
        <w:tc>
          <w:tcPr>
            <w:tcW w:w="2536" w:type="dxa"/>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Consumo</w:t>
            </w:r>
          </w:p>
        </w:tc>
        <w:tc>
          <w:tcPr>
            <w:tcW w:w="1492" w:type="dxa"/>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m</w:t>
            </w:r>
            <w:r>
              <w:rPr>
                <w:rFonts w:ascii="Times New Roman" w:eastAsia="Times New Roman" w:hAnsi="Times New Roman"/>
                <w:sz w:val="24"/>
                <w:szCs w:val="24"/>
                <w:vertAlign w:val="superscript"/>
                <w:lang w:eastAsia="pt-BR"/>
              </w:rPr>
              <w:t>3</w:t>
            </w:r>
          </w:p>
        </w:tc>
        <w:tc>
          <w:tcPr>
            <w:tcW w:w="1217"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0,020</w:t>
            </w:r>
          </w:p>
        </w:tc>
        <w:tc>
          <w:tcPr>
            <w:tcW w:w="1559"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0,0217</w:t>
            </w:r>
          </w:p>
        </w:tc>
        <w:tc>
          <w:tcPr>
            <w:tcW w:w="1276"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0,0235</w:t>
            </w:r>
          </w:p>
        </w:tc>
        <w:tc>
          <w:tcPr>
            <w:tcW w:w="1276"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0,0255</w:t>
            </w:r>
          </w:p>
        </w:tc>
      </w:tr>
      <w:tr w:rsidR="00AF3B34" w:rsidTr="00AF3B34">
        <w:trPr>
          <w:trHeight w:val="402"/>
        </w:trPr>
        <w:tc>
          <w:tcPr>
            <w:tcW w:w="2536" w:type="dxa"/>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Lançamento</w:t>
            </w:r>
          </w:p>
        </w:tc>
        <w:tc>
          <w:tcPr>
            <w:tcW w:w="1492" w:type="dxa"/>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kg/DBO</w:t>
            </w:r>
            <w:r>
              <w:rPr>
                <w:rFonts w:ascii="Times New Roman" w:eastAsia="Times New Roman" w:hAnsi="Times New Roman"/>
                <w:color w:val="000000"/>
                <w:sz w:val="16"/>
                <w:szCs w:val="16"/>
                <w:lang w:eastAsia="pt-BR"/>
              </w:rPr>
              <w:t>5,20</w:t>
            </w:r>
          </w:p>
        </w:tc>
        <w:tc>
          <w:tcPr>
            <w:tcW w:w="1217"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0,100</w:t>
            </w:r>
          </w:p>
        </w:tc>
        <w:tc>
          <w:tcPr>
            <w:tcW w:w="1559"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0,1084</w:t>
            </w:r>
          </w:p>
        </w:tc>
        <w:tc>
          <w:tcPr>
            <w:tcW w:w="1276"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0,1175</w:t>
            </w:r>
          </w:p>
        </w:tc>
        <w:tc>
          <w:tcPr>
            <w:tcW w:w="1276" w:type="dxa"/>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0,1274</w:t>
            </w:r>
          </w:p>
        </w:tc>
      </w:tr>
      <w:tr w:rsidR="00AF3B34" w:rsidTr="00AF3B34">
        <w:trPr>
          <w:trHeight w:val="402"/>
        </w:trPr>
        <w:tc>
          <w:tcPr>
            <w:tcW w:w="2536" w:type="dxa"/>
            <w:tcBorders>
              <w:top w:val="nil"/>
              <w:left w:val="nil"/>
              <w:bottom w:val="single" w:sz="4" w:space="0" w:color="auto"/>
              <w:right w:val="nil"/>
            </w:tcBorders>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Transposição</w:t>
            </w:r>
          </w:p>
        </w:tc>
        <w:tc>
          <w:tcPr>
            <w:tcW w:w="1492" w:type="dxa"/>
            <w:tcBorders>
              <w:top w:val="nil"/>
              <w:left w:val="nil"/>
              <w:bottom w:val="single" w:sz="4" w:space="0" w:color="auto"/>
              <w:right w:val="nil"/>
            </w:tcBorders>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m</w:t>
            </w:r>
            <w:r>
              <w:rPr>
                <w:rFonts w:ascii="Times New Roman" w:eastAsia="Times New Roman" w:hAnsi="Times New Roman"/>
                <w:sz w:val="24"/>
                <w:szCs w:val="24"/>
                <w:vertAlign w:val="superscript"/>
                <w:lang w:eastAsia="pt-BR"/>
              </w:rPr>
              <w:t>3</w:t>
            </w:r>
          </w:p>
        </w:tc>
        <w:tc>
          <w:tcPr>
            <w:tcW w:w="1217" w:type="dxa"/>
            <w:tcBorders>
              <w:top w:val="nil"/>
              <w:left w:val="nil"/>
              <w:bottom w:val="single" w:sz="4" w:space="0" w:color="auto"/>
              <w:right w:val="nil"/>
            </w:tcBorders>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0,015</w:t>
            </w:r>
          </w:p>
        </w:tc>
        <w:tc>
          <w:tcPr>
            <w:tcW w:w="1559" w:type="dxa"/>
            <w:tcBorders>
              <w:top w:val="nil"/>
              <w:left w:val="nil"/>
              <w:bottom w:val="single" w:sz="4" w:space="0" w:color="auto"/>
              <w:right w:val="nil"/>
            </w:tcBorders>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0,0163</w:t>
            </w:r>
          </w:p>
        </w:tc>
        <w:tc>
          <w:tcPr>
            <w:tcW w:w="1276" w:type="dxa"/>
            <w:tcBorders>
              <w:top w:val="nil"/>
              <w:left w:val="nil"/>
              <w:bottom w:val="single" w:sz="4" w:space="0" w:color="auto"/>
              <w:right w:val="nil"/>
            </w:tcBorders>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0,0176</w:t>
            </w:r>
          </w:p>
        </w:tc>
        <w:tc>
          <w:tcPr>
            <w:tcW w:w="1276" w:type="dxa"/>
            <w:tcBorders>
              <w:top w:val="nil"/>
              <w:left w:val="nil"/>
              <w:bottom w:val="single" w:sz="4" w:space="0" w:color="auto"/>
              <w:right w:val="nil"/>
            </w:tcBorders>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0,0191</w:t>
            </w:r>
          </w:p>
        </w:tc>
      </w:tr>
      <w:tr w:rsidR="00AF3B34" w:rsidTr="00AF3B34">
        <w:trPr>
          <w:trHeight w:val="315"/>
        </w:trPr>
        <w:tc>
          <w:tcPr>
            <w:tcW w:w="9356" w:type="dxa"/>
            <w:gridSpan w:val="6"/>
            <w:tcBorders>
              <w:top w:val="single" w:sz="4" w:space="0" w:color="auto"/>
              <w:left w:val="nil"/>
              <w:bottom w:val="nil"/>
              <w:right w:val="nil"/>
            </w:tcBorders>
            <w:noWrap/>
            <w:hideMark/>
          </w:tcPr>
          <w:p w:rsidR="00AF3B34" w:rsidRDefault="00AF3B34">
            <w:pPr>
              <w:spacing w:after="120"/>
              <w:jc w:val="both"/>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Fonte: Comitês PCJ (2013).</w:t>
            </w:r>
          </w:p>
        </w:tc>
      </w:tr>
    </w:tbl>
    <w:p w:rsidR="00223F92" w:rsidRDefault="00223F92" w:rsidP="00AF3B34">
      <w:pPr>
        <w:rPr>
          <w:b/>
          <w:sz w:val="36"/>
          <w:szCs w:val="36"/>
        </w:rPr>
      </w:pPr>
    </w:p>
    <w:p w:rsidR="00AF3B34" w:rsidRDefault="00AF3B34" w:rsidP="00AF3B34">
      <w:pPr>
        <w:rPr>
          <w:b/>
          <w:sz w:val="36"/>
          <w:szCs w:val="36"/>
        </w:rPr>
      </w:pPr>
      <w:r>
        <w:rPr>
          <w:b/>
          <w:sz w:val="36"/>
          <w:szCs w:val="36"/>
        </w:rPr>
        <w:t>ARRECADAÇÃO</w:t>
      </w:r>
    </w:p>
    <w:p w:rsidR="00AF3B34" w:rsidRDefault="00AF3B34" w:rsidP="00AF3B34">
      <w:pPr>
        <w:rPr>
          <w:sz w:val="24"/>
          <w:szCs w:val="24"/>
        </w:rPr>
      </w:pPr>
    </w:p>
    <w:p w:rsidR="00AF3B34" w:rsidRDefault="00AF3B34" w:rsidP="00AF3B34">
      <w:pPr>
        <w:pStyle w:val="Legenda"/>
      </w:pPr>
      <w:bookmarkStart w:id="7" w:name="_Toc372711063"/>
      <w:r>
        <w:t xml:space="preserve"> Arrecadação e desembolso acumulado da cobrança </w:t>
      </w:r>
      <w:r>
        <w:rPr>
          <w:b/>
        </w:rPr>
        <w:t>federal</w:t>
      </w:r>
      <w:r>
        <w:t xml:space="preserve"> PCJ (2006 a 2012)</w:t>
      </w:r>
      <w:bookmarkEnd w:id="7"/>
    </w:p>
    <w:tbl>
      <w:tblPr>
        <w:tblW w:w="4000" w:type="pct"/>
        <w:jc w:val="center"/>
        <w:tblCellMar>
          <w:left w:w="70" w:type="dxa"/>
          <w:right w:w="70" w:type="dxa"/>
        </w:tblCellMar>
        <w:tblLook w:val="04A0"/>
      </w:tblPr>
      <w:tblGrid>
        <w:gridCol w:w="854"/>
        <w:gridCol w:w="1969"/>
        <w:gridCol w:w="1970"/>
        <w:gridCol w:w="1970"/>
        <w:gridCol w:w="832"/>
      </w:tblGrid>
      <w:tr w:rsidR="00AF3B34" w:rsidTr="00AF3B34">
        <w:trPr>
          <w:trHeight w:val="600"/>
          <w:jc w:val="center"/>
        </w:trPr>
        <w:tc>
          <w:tcPr>
            <w:tcW w:w="562" w:type="pct"/>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Ano</w:t>
            </w:r>
          </w:p>
        </w:tc>
        <w:tc>
          <w:tcPr>
            <w:tcW w:w="1296" w:type="pct"/>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Arrecadação Total (R$)</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Desembolso (R$)</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Saldo (R$)</w:t>
            </w:r>
          </w:p>
        </w:tc>
        <w:tc>
          <w:tcPr>
            <w:tcW w:w="548"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w:t>
            </w:r>
          </w:p>
        </w:tc>
      </w:tr>
      <w:tr w:rsidR="00AF3B34" w:rsidTr="00AF3B34">
        <w:trPr>
          <w:trHeight w:val="300"/>
          <w:jc w:val="center"/>
        </w:trPr>
        <w:tc>
          <w:tcPr>
            <w:tcW w:w="562" w:type="pct"/>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2006</w:t>
            </w:r>
          </w:p>
        </w:tc>
        <w:tc>
          <w:tcPr>
            <w:tcW w:w="1296"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10.772.194,32</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1.596.813,88</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9.175.380,44</w:t>
            </w:r>
          </w:p>
        </w:tc>
        <w:tc>
          <w:tcPr>
            <w:tcW w:w="548"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14,82</w:t>
            </w:r>
          </w:p>
        </w:tc>
      </w:tr>
      <w:tr w:rsidR="00AF3B34" w:rsidTr="00AF3B34">
        <w:trPr>
          <w:trHeight w:val="300"/>
          <w:jc w:val="center"/>
        </w:trPr>
        <w:tc>
          <w:tcPr>
            <w:tcW w:w="562" w:type="pct"/>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2007</w:t>
            </w:r>
          </w:p>
        </w:tc>
        <w:tc>
          <w:tcPr>
            <w:tcW w:w="1296"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25.693.875,39</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4.920.118,82</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20.773.756,57</w:t>
            </w:r>
          </w:p>
        </w:tc>
        <w:tc>
          <w:tcPr>
            <w:tcW w:w="548"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19,15</w:t>
            </w:r>
          </w:p>
        </w:tc>
      </w:tr>
      <w:tr w:rsidR="00AF3B34" w:rsidTr="00AF3B34">
        <w:trPr>
          <w:trHeight w:val="300"/>
          <w:jc w:val="center"/>
        </w:trPr>
        <w:tc>
          <w:tcPr>
            <w:tcW w:w="562" w:type="pct"/>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2008</w:t>
            </w:r>
          </w:p>
        </w:tc>
        <w:tc>
          <w:tcPr>
            <w:tcW w:w="1296"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45.318.198,92</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9.864.473,96</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35.453.724,96</w:t>
            </w:r>
          </w:p>
        </w:tc>
        <w:tc>
          <w:tcPr>
            <w:tcW w:w="548"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21,77</w:t>
            </w:r>
          </w:p>
        </w:tc>
      </w:tr>
      <w:tr w:rsidR="00AF3B34" w:rsidTr="00AF3B34">
        <w:trPr>
          <w:trHeight w:val="300"/>
          <w:jc w:val="center"/>
        </w:trPr>
        <w:tc>
          <w:tcPr>
            <w:tcW w:w="562" w:type="pct"/>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2009</w:t>
            </w:r>
          </w:p>
        </w:tc>
        <w:tc>
          <w:tcPr>
            <w:tcW w:w="1296"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65.337.225,49</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17.683.371,89</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47.653.853,60</w:t>
            </w:r>
          </w:p>
        </w:tc>
        <w:tc>
          <w:tcPr>
            <w:tcW w:w="548"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27,06</w:t>
            </w:r>
          </w:p>
        </w:tc>
      </w:tr>
      <w:tr w:rsidR="00AF3B34" w:rsidTr="00AF3B34">
        <w:trPr>
          <w:trHeight w:val="300"/>
          <w:jc w:val="center"/>
        </w:trPr>
        <w:tc>
          <w:tcPr>
            <w:tcW w:w="562" w:type="pct"/>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2010</w:t>
            </w:r>
          </w:p>
        </w:tc>
        <w:tc>
          <w:tcPr>
            <w:tcW w:w="1296"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86.970.353,79</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29.434.034,49</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57.536.319,30</w:t>
            </w:r>
          </w:p>
        </w:tc>
        <w:tc>
          <w:tcPr>
            <w:tcW w:w="548"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33,84</w:t>
            </w:r>
          </w:p>
        </w:tc>
      </w:tr>
      <w:tr w:rsidR="00AF3B34" w:rsidTr="00AF3B34">
        <w:trPr>
          <w:trHeight w:val="300"/>
          <w:jc w:val="center"/>
        </w:trPr>
        <w:tc>
          <w:tcPr>
            <w:tcW w:w="562" w:type="pct"/>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lastRenderedPageBreak/>
              <w:t>2011</w:t>
            </w:r>
          </w:p>
        </w:tc>
        <w:tc>
          <w:tcPr>
            <w:tcW w:w="1296"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107.565.117,77</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41.248.981,35</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66.316.136,42</w:t>
            </w:r>
          </w:p>
        </w:tc>
        <w:tc>
          <w:tcPr>
            <w:tcW w:w="548"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38,35</w:t>
            </w:r>
          </w:p>
        </w:tc>
      </w:tr>
      <w:tr w:rsidR="00AF3B34" w:rsidTr="00AF3B34">
        <w:trPr>
          <w:trHeight w:val="300"/>
          <w:jc w:val="center"/>
        </w:trPr>
        <w:tc>
          <w:tcPr>
            <w:tcW w:w="562" w:type="pct"/>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2012</w:t>
            </w:r>
          </w:p>
        </w:tc>
        <w:tc>
          <w:tcPr>
            <w:tcW w:w="1296"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129.828.827,76</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65.697.553,74</w:t>
            </w:r>
          </w:p>
        </w:tc>
        <w:tc>
          <w:tcPr>
            <w:tcW w:w="1297"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64.131.274,02</w:t>
            </w:r>
          </w:p>
        </w:tc>
        <w:tc>
          <w:tcPr>
            <w:tcW w:w="548"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50,60</w:t>
            </w:r>
          </w:p>
        </w:tc>
      </w:tr>
    </w:tbl>
    <w:p w:rsidR="00AF3B34" w:rsidRDefault="00AF3B34" w:rsidP="00AF3B34">
      <w:pPr>
        <w:rPr>
          <w:sz w:val="24"/>
          <w:szCs w:val="24"/>
        </w:rPr>
      </w:pPr>
    </w:p>
    <w:p w:rsidR="00AF3B34" w:rsidRDefault="00AF3B34" w:rsidP="00AF3B34">
      <w:pPr>
        <w:rPr>
          <w:sz w:val="24"/>
          <w:szCs w:val="24"/>
        </w:rPr>
      </w:pPr>
    </w:p>
    <w:p w:rsidR="00AF3B34" w:rsidRDefault="00AF3B34" w:rsidP="00AF3B34">
      <w:pPr>
        <w:rPr>
          <w:sz w:val="24"/>
          <w:szCs w:val="24"/>
        </w:rPr>
      </w:pPr>
    </w:p>
    <w:p w:rsidR="00AF3B34" w:rsidRDefault="00AF3B34" w:rsidP="00AF3B34">
      <w:pPr>
        <w:tabs>
          <w:tab w:val="left" w:pos="7010"/>
          <w:tab w:val="left" w:pos="8842"/>
        </w:tabs>
        <w:ind w:left="70"/>
        <w:rPr>
          <w:rFonts w:ascii="Times New Roman" w:hAnsi="Times New Roman"/>
          <w:bCs/>
          <w:sz w:val="24"/>
          <w:szCs w:val="24"/>
          <w:lang w:eastAsia="pt-BR"/>
        </w:rPr>
      </w:pPr>
      <w:r>
        <w:rPr>
          <w:rFonts w:ascii="Times New Roman" w:hAnsi="Times New Roman"/>
          <w:bCs/>
          <w:sz w:val="24"/>
          <w:szCs w:val="24"/>
          <w:lang w:eastAsia="pt-BR"/>
        </w:rPr>
        <w:t xml:space="preserve">Arrecadação x Desembolso Anual da Cobrança PCJ </w:t>
      </w:r>
      <w:r>
        <w:rPr>
          <w:rFonts w:ascii="Times New Roman" w:hAnsi="Times New Roman"/>
          <w:b/>
          <w:bCs/>
          <w:sz w:val="24"/>
          <w:szCs w:val="24"/>
          <w:lang w:eastAsia="pt-BR"/>
        </w:rPr>
        <w:t>Paulista</w:t>
      </w:r>
      <w:r>
        <w:rPr>
          <w:rFonts w:ascii="Times New Roman" w:hAnsi="Times New Roman"/>
          <w:bCs/>
          <w:sz w:val="24"/>
          <w:szCs w:val="24"/>
          <w:lang w:eastAsia="pt-BR"/>
        </w:rPr>
        <w:t xml:space="preserve"> 2008 – 2013</w:t>
      </w:r>
    </w:p>
    <w:tbl>
      <w:tblPr>
        <w:tblW w:w="9140" w:type="dxa"/>
        <w:tblInd w:w="70" w:type="dxa"/>
        <w:tblCellMar>
          <w:left w:w="70" w:type="dxa"/>
          <w:right w:w="70" w:type="dxa"/>
        </w:tblCellMar>
        <w:tblLook w:val="04A0"/>
      </w:tblPr>
      <w:tblGrid>
        <w:gridCol w:w="960"/>
        <w:gridCol w:w="2300"/>
        <w:gridCol w:w="1960"/>
        <w:gridCol w:w="2140"/>
        <w:gridCol w:w="1780"/>
      </w:tblGrid>
      <w:tr w:rsidR="00AF3B34" w:rsidTr="00AF3B34">
        <w:trPr>
          <w:trHeight w:val="315"/>
        </w:trPr>
        <w:tc>
          <w:tcPr>
            <w:tcW w:w="960" w:type="dxa"/>
            <w:tcBorders>
              <w:top w:val="single" w:sz="8" w:space="0" w:color="000000"/>
              <w:left w:val="nil"/>
              <w:bottom w:val="single" w:sz="8" w:space="0" w:color="000000"/>
              <w:right w:val="nil"/>
            </w:tcBorders>
            <w:noWrap/>
            <w:vAlign w:val="bottom"/>
            <w:hideMark/>
          </w:tcPr>
          <w:p w:rsidR="00AF3B34" w:rsidRDefault="00AF3B34">
            <w:pPr>
              <w:spacing w:after="120"/>
              <w:jc w:val="center"/>
              <w:rPr>
                <w:rFonts w:ascii="Verdana" w:eastAsia="Times New Roman" w:hAnsi="Verdana"/>
                <w:b/>
                <w:bCs/>
                <w:color w:val="000000"/>
                <w:sz w:val="18"/>
                <w:szCs w:val="18"/>
                <w:lang w:eastAsia="pt-BR"/>
              </w:rPr>
            </w:pPr>
            <w:r>
              <w:rPr>
                <w:rFonts w:ascii="Verdana" w:eastAsia="Times New Roman" w:hAnsi="Verdana"/>
                <w:b/>
                <w:bCs/>
                <w:color w:val="000000"/>
                <w:sz w:val="18"/>
                <w:szCs w:val="18"/>
                <w:lang w:eastAsia="pt-BR"/>
              </w:rPr>
              <w:t>Ano</w:t>
            </w:r>
          </w:p>
        </w:tc>
        <w:tc>
          <w:tcPr>
            <w:tcW w:w="2300" w:type="dxa"/>
            <w:tcBorders>
              <w:top w:val="single" w:sz="8" w:space="0" w:color="000000"/>
              <w:left w:val="nil"/>
              <w:bottom w:val="single" w:sz="8" w:space="0" w:color="000000"/>
              <w:right w:val="nil"/>
            </w:tcBorders>
            <w:noWrap/>
            <w:vAlign w:val="bottom"/>
            <w:hideMark/>
          </w:tcPr>
          <w:p w:rsidR="00AF3B34" w:rsidRDefault="00AF3B34">
            <w:pPr>
              <w:spacing w:after="120"/>
              <w:jc w:val="center"/>
              <w:rPr>
                <w:rFonts w:ascii="Verdana" w:eastAsia="Times New Roman" w:hAnsi="Verdana"/>
                <w:b/>
                <w:bCs/>
                <w:color w:val="000000"/>
                <w:sz w:val="18"/>
                <w:szCs w:val="18"/>
                <w:lang w:eastAsia="pt-BR"/>
              </w:rPr>
            </w:pPr>
            <w:r>
              <w:rPr>
                <w:rFonts w:ascii="Verdana" w:eastAsia="Times New Roman" w:hAnsi="Verdana"/>
                <w:b/>
                <w:bCs/>
                <w:color w:val="000000"/>
                <w:sz w:val="18"/>
                <w:szCs w:val="18"/>
                <w:lang w:eastAsia="pt-BR"/>
              </w:rPr>
              <w:t>Arrecadação</w:t>
            </w:r>
          </w:p>
        </w:tc>
        <w:tc>
          <w:tcPr>
            <w:tcW w:w="1960" w:type="dxa"/>
            <w:tcBorders>
              <w:top w:val="single" w:sz="8" w:space="0" w:color="000000"/>
              <w:left w:val="nil"/>
              <w:bottom w:val="single" w:sz="8" w:space="0" w:color="000000"/>
              <w:right w:val="nil"/>
            </w:tcBorders>
            <w:noWrap/>
            <w:vAlign w:val="bottom"/>
            <w:hideMark/>
          </w:tcPr>
          <w:p w:rsidR="00AF3B34" w:rsidRDefault="00AF3B34">
            <w:pPr>
              <w:spacing w:after="120"/>
              <w:jc w:val="center"/>
              <w:rPr>
                <w:rFonts w:ascii="Verdana" w:eastAsia="Times New Roman" w:hAnsi="Verdana"/>
                <w:b/>
                <w:bCs/>
                <w:color w:val="000000"/>
                <w:sz w:val="18"/>
                <w:szCs w:val="18"/>
                <w:lang w:eastAsia="pt-BR"/>
              </w:rPr>
            </w:pPr>
            <w:r>
              <w:rPr>
                <w:rFonts w:ascii="Verdana" w:eastAsia="Times New Roman" w:hAnsi="Verdana"/>
                <w:b/>
                <w:bCs/>
                <w:color w:val="000000"/>
                <w:sz w:val="18"/>
                <w:szCs w:val="18"/>
                <w:lang w:eastAsia="pt-BR"/>
              </w:rPr>
              <w:t>Rendimentos</w:t>
            </w:r>
          </w:p>
        </w:tc>
        <w:tc>
          <w:tcPr>
            <w:tcW w:w="2140" w:type="dxa"/>
            <w:tcBorders>
              <w:top w:val="single" w:sz="8" w:space="0" w:color="000000"/>
              <w:left w:val="nil"/>
              <w:bottom w:val="single" w:sz="8" w:space="0" w:color="000000"/>
              <w:right w:val="nil"/>
            </w:tcBorders>
            <w:noWrap/>
            <w:vAlign w:val="bottom"/>
            <w:hideMark/>
          </w:tcPr>
          <w:p w:rsidR="00AF3B34" w:rsidRDefault="00AF3B34">
            <w:pPr>
              <w:spacing w:after="120"/>
              <w:jc w:val="center"/>
              <w:rPr>
                <w:rFonts w:ascii="Verdana" w:eastAsia="Times New Roman" w:hAnsi="Verdana"/>
                <w:b/>
                <w:bCs/>
                <w:color w:val="000000"/>
                <w:sz w:val="18"/>
                <w:szCs w:val="18"/>
                <w:lang w:eastAsia="pt-BR"/>
              </w:rPr>
            </w:pPr>
            <w:r>
              <w:rPr>
                <w:rFonts w:ascii="Verdana" w:eastAsia="Times New Roman" w:hAnsi="Verdana"/>
                <w:b/>
                <w:bCs/>
                <w:color w:val="000000"/>
                <w:sz w:val="18"/>
                <w:szCs w:val="18"/>
                <w:lang w:eastAsia="pt-BR"/>
              </w:rPr>
              <w:t>Desembolso Total</w:t>
            </w:r>
          </w:p>
        </w:tc>
        <w:tc>
          <w:tcPr>
            <w:tcW w:w="1780" w:type="dxa"/>
            <w:tcBorders>
              <w:top w:val="single" w:sz="8" w:space="0" w:color="000000"/>
              <w:left w:val="nil"/>
              <w:bottom w:val="single" w:sz="8" w:space="0" w:color="000000"/>
              <w:right w:val="nil"/>
            </w:tcBorders>
            <w:noWrap/>
            <w:vAlign w:val="bottom"/>
            <w:hideMark/>
          </w:tcPr>
          <w:p w:rsidR="00AF3B34" w:rsidRDefault="00AF3B34">
            <w:pPr>
              <w:spacing w:after="120"/>
              <w:jc w:val="center"/>
              <w:rPr>
                <w:rFonts w:ascii="Verdana" w:eastAsia="Times New Roman" w:hAnsi="Verdana"/>
                <w:b/>
                <w:bCs/>
                <w:color w:val="000000"/>
                <w:sz w:val="18"/>
                <w:szCs w:val="18"/>
                <w:lang w:eastAsia="pt-BR"/>
              </w:rPr>
            </w:pPr>
            <w:r>
              <w:rPr>
                <w:rFonts w:ascii="Verdana" w:eastAsia="Times New Roman" w:hAnsi="Verdana"/>
                <w:b/>
                <w:bCs/>
                <w:color w:val="000000"/>
                <w:sz w:val="18"/>
                <w:szCs w:val="18"/>
                <w:lang w:eastAsia="pt-BR"/>
              </w:rPr>
              <w:t>%</w:t>
            </w:r>
          </w:p>
        </w:tc>
      </w:tr>
      <w:tr w:rsidR="00AF3B34" w:rsidTr="00AF3B34">
        <w:trPr>
          <w:trHeight w:val="300"/>
        </w:trPr>
        <w:tc>
          <w:tcPr>
            <w:tcW w:w="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2007</w:t>
            </w:r>
          </w:p>
        </w:tc>
        <w:tc>
          <w:tcPr>
            <w:tcW w:w="230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R$ 9.793.755,32</w:t>
            </w:r>
          </w:p>
        </w:tc>
        <w:tc>
          <w:tcPr>
            <w:tcW w:w="1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R$ 180.908,12</w:t>
            </w:r>
          </w:p>
        </w:tc>
        <w:tc>
          <w:tcPr>
            <w:tcW w:w="2140" w:type="dxa"/>
            <w:noWrap/>
            <w:vAlign w:val="bottom"/>
            <w:hideMark/>
          </w:tcPr>
          <w:p w:rsidR="00AF3B34" w:rsidRDefault="00AF3B34">
            <w:pPr>
              <w:spacing w:after="120"/>
              <w:rPr>
                <w:rFonts w:eastAsia="Times New Roman"/>
                <w:color w:val="000000"/>
                <w:lang w:eastAsia="pt-BR"/>
              </w:rPr>
            </w:pPr>
            <w:r>
              <w:rPr>
                <w:rFonts w:eastAsia="Times New Roman"/>
                <w:color w:val="000000"/>
                <w:lang w:eastAsia="pt-BR"/>
              </w:rPr>
              <w:t>-</w:t>
            </w:r>
          </w:p>
        </w:tc>
        <w:tc>
          <w:tcPr>
            <w:tcW w:w="178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0,00%</w:t>
            </w:r>
          </w:p>
        </w:tc>
      </w:tr>
      <w:tr w:rsidR="00AF3B34" w:rsidTr="00AF3B34">
        <w:trPr>
          <w:trHeight w:val="300"/>
        </w:trPr>
        <w:tc>
          <w:tcPr>
            <w:tcW w:w="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2008</w:t>
            </w:r>
          </w:p>
        </w:tc>
        <w:tc>
          <w:tcPr>
            <w:tcW w:w="230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R$ 11.770.279,18</w:t>
            </w:r>
          </w:p>
        </w:tc>
        <w:tc>
          <w:tcPr>
            <w:tcW w:w="1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R$ 1.915.796,98</w:t>
            </w:r>
          </w:p>
        </w:tc>
        <w:tc>
          <w:tcPr>
            <w:tcW w:w="214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R$ 3.486.657,72</w:t>
            </w:r>
          </w:p>
        </w:tc>
        <w:tc>
          <w:tcPr>
            <w:tcW w:w="178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25,48%</w:t>
            </w:r>
          </w:p>
        </w:tc>
      </w:tr>
      <w:tr w:rsidR="00AF3B34" w:rsidTr="00AF3B34">
        <w:trPr>
          <w:trHeight w:val="300"/>
        </w:trPr>
        <w:tc>
          <w:tcPr>
            <w:tcW w:w="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2009</w:t>
            </w:r>
          </w:p>
        </w:tc>
        <w:tc>
          <w:tcPr>
            <w:tcW w:w="230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R$ 14.777.523,80</w:t>
            </w:r>
          </w:p>
        </w:tc>
        <w:tc>
          <w:tcPr>
            <w:tcW w:w="1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R$ 2.591.354,73</w:t>
            </w:r>
          </w:p>
        </w:tc>
        <w:tc>
          <w:tcPr>
            <w:tcW w:w="214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R$ 2.572.379,18</w:t>
            </w:r>
          </w:p>
        </w:tc>
        <w:tc>
          <w:tcPr>
            <w:tcW w:w="178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14,81%</w:t>
            </w:r>
          </w:p>
        </w:tc>
      </w:tr>
      <w:tr w:rsidR="00AF3B34" w:rsidTr="00AF3B34">
        <w:trPr>
          <w:trHeight w:val="300"/>
        </w:trPr>
        <w:tc>
          <w:tcPr>
            <w:tcW w:w="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2010</w:t>
            </w:r>
          </w:p>
        </w:tc>
        <w:tc>
          <w:tcPr>
            <w:tcW w:w="230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R$ 16.738.835,73</w:t>
            </w:r>
          </w:p>
        </w:tc>
        <w:tc>
          <w:tcPr>
            <w:tcW w:w="1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R$ 3.003.189,00</w:t>
            </w:r>
          </w:p>
        </w:tc>
        <w:tc>
          <w:tcPr>
            <w:tcW w:w="214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R$ 13.844.800,60</w:t>
            </w:r>
          </w:p>
        </w:tc>
        <w:tc>
          <w:tcPr>
            <w:tcW w:w="178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70,13%</w:t>
            </w:r>
          </w:p>
        </w:tc>
      </w:tr>
      <w:tr w:rsidR="00AF3B34" w:rsidTr="00AF3B34">
        <w:trPr>
          <w:trHeight w:val="300"/>
        </w:trPr>
        <w:tc>
          <w:tcPr>
            <w:tcW w:w="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2011</w:t>
            </w:r>
          </w:p>
        </w:tc>
        <w:tc>
          <w:tcPr>
            <w:tcW w:w="230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R$ 16.838.970,57</w:t>
            </w:r>
          </w:p>
        </w:tc>
        <w:tc>
          <w:tcPr>
            <w:tcW w:w="1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R$ 4.974.704,91</w:t>
            </w:r>
          </w:p>
        </w:tc>
        <w:tc>
          <w:tcPr>
            <w:tcW w:w="214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R$ 11.088.238,88</w:t>
            </w:r>
          </w:p>
        </w:tc>
        <w:tc>
          <w:tcPr>
            <w:tcW w:w="178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50,83%</w:t>
            </w:r>
          </w:p>
        </w:tc>
      </w:tr>
      <w:tr w:rsidR="00AF3B34" w:rsidTr="00AF3B34">
        <w:trPr>
          <w:trHeight w:val="300"/>
        </w:trPr>
        <w:tc>
          <w:tcPr>
            <w:tcW w:w="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2012</w:t>
            </w:r>
          </w:p>
        </w:tc>
        <w:tc>
          <w:tcPr>
            <w:tcW w:w="230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R$ 17.677.619,98</w:t>
            </w:r>
          </w:p>
        </w:tc>
        <w:tc>
          <w:tcPr>
            <w:tcW w:w="1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R$ 4.710.284,32</w:t>
            </w:r>
          </w:p>
        </w:tc>
        <w:tc>
          <w:tcPr>
            <w:tcW w:w="214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R$ 9.919.885,95</w:t>
            </w:r>
          </w:p>
        </w:tc>
        <w:tc>
          <w:tcPr>
            <w:tcW w:w="178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44,31%</w:t>
            </w:r>
          </w:p>
        </w:tc>
      </w:tr>
      <w:tr w:rsidR="00AF3B34" w:rsidTr="00AF3B34">
        <w:trPr>
          <w:trHeight w:val="315"/>
        </w:trPr>
        <w:tc>
          <w:tcPr>
            <w:tcW w:w="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2013</w:t>
            </w:r>
          </w:p>
        </w:tc>
        <w:tc>
          <w:tcPr>
            <w:tcW w:w="230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R$ 16.839.304,74</w:t>
            </w:r>
          </w:p>
        </w:tc>
        <w:tc>
          <w:tcPr>
            <w:tcW w:w="196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R$ 5.021.283,75</w:t>
            </w:r>
          </w:p>
        </w:tc>
        <w:tc>
          <w:tcPr>
            <w:tcW w:w="214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R$ 17.800.431,30</w:t>
            </w:r>
          </w:p>
        </w:tc>
        <w:tc>
          <w:tcPr>
            <w:tcW w:w="1780" w:type="dxa"/>
            <w:noWrap/>
            <w:vAlign w:val="bottom"/>
            <w:hideMark/>
          </w:tcPr>
          <w:p w:rsidR="00AF3B34" w:rsidRDefault="00AF3B34">
            <w:pPr>
              <w:spacing w:after="120"/>
              <w:jc w:val="center"/>
              <w:rPr>
                <w:rFonts w:ascii="Verdana" w:eastAsia="Times New Roman" w:hAnsi="Verdana"/>
                <w:bCs/>
                <w:color w:val="000000"/>
                <w:sz w:val="18"/>
                <w:szCs w:val="18"/>
                <w:lang w:eastAsia="pt-BR"/>
              </w:rPr>
            </w:pPr>
            <w:r>
              <w:rPr>
                <w:rFonts w:ascii="Verdana" w:eastAsia="Times New Roman" w:hAnsi="Verdana"/>
                <w:bCs/>
                <w:color w:val="000000"/>
                <w:sz w:val="18"/>
                <w:szCs w:val="18"/>
                <w:lang w:eastAsia="pt-BR"/>
              </w:rPr>
              <w:t>81,43%</w:t>
            </w:r>
          </w:p>
        </w:tc>
      </w:tr>
      <w:tr w:rsidR="00AF3B34" w:rsidTr="00AF3B34">
        <w:trPr>
          <w:trHeight w:val="372"/>
        </w:trPr>
        <w:tc>
          <w:tcPr>
            <w:tcW w:w="960" w:type="dxa"/>
            <w:vMerge w:val="restart"/>
            <w:tcBorders>
              <w:top w:val="double" w:sz="6" w:space="0" w:color="000000"/>
              <w:left w:val="nil"/>
              <w:bottom w:val="single" w:sz="8" w:space="0" w:color="000000"/>
              <w:right w:val="nil"/>
            </w:tcBorders>
            <w:noWrap/>
            <w:vAlign w:val="bottom"/>
            <w:hideMark/>
          </w:tcPr>
          <w:p w:rsidR="00AF3B34" w:rsidRDefault="00AF3B34">
            <w:pPr>
              <w:spacing w:after="120"/>
              <w:jc w:val="center"/>
              <w:rPr>
                <w:rFonts w:ascii="Verdana" w:eastAsia="Times New Roman" w:hAnsi="Verdana"/>
                <w:b/>
                <w:bCs/>
                <w:color w:val="000000"/>
                <w:sz w:val="18"/>
                <w:szCs w:val="18"/>
                <w:lang w:eastAsia="pt-BR"/>
              </w:rPr>
            </w:pPr>
            <w:r>
              <w:rPr>
                <w:rFonts w:ascii="Verdana" w:eastAsia="Times New Roman" w:hAnsi="Verdana"/>
                <w:b/>
                <w:bCs/>
                <w:color w:val="000000"/>
                <w:sz w:val="18"/>
                <w:szCs w:val="18"/>
                <w:lang w:eastAsia="pt-BR"/>
              </w:rPr>
              <w:t>Total</w:t>
            </w:r>
          </w:p>
        </w:tc>
        <w:tc>
          <w:tcPr>
            <w:tcW w:w="2300" w:type="dxa"/>
            <w:vMerge w:val="restart"/>
            <w:tcBorders>
              <w:top w:val="double" w:sz="6" w:space="0" w:color="000000"/>
              <w:left w:val="nil"/>
              <w:bottom w:val="single" w:sz="8" w:space="0" w:color="000000"/>
              <w:right w:val="nil"/>
            </w:tcBorders>
            <w:noWrap/>
            <w:vAlign w:val="bottom"/>
            <w:hideMark/>
          </w:tcPr>
          <w:p w:rsidR="00AF3B34" w:rsidRDefault="00AF3B34">
            <w:pPr>
              <w:spacing w:after="120"/>
              <w:jc w:val="center"/>
              <w:rPr>
                <w:rFonts w:ascii="Verdana" w:eastAsia="Times New Roman" w:hAnsi="Verdana"/>
                <w:b/>
                <w:bCs/>
                <w:color w:val="000000"/>
                <w:sz w:val="18"/>
                <w:szCs w:val="18"/>
                <w:lang w:eastAsia="pt-BR"/>
              </w:rPr>
            </w:pPr>
            <w:r>
              <w:rPr>
                <w:rFonts w:ascii="Verdana" w:eastAsia="Times New Roman" w:hAnsi="Verdana"/>
                <w:b/>
                <w:bCs/>
                <w:color w:val="000000"/>
                <w:sz w:val="18"/>
                <w:szCs w:val="18"/>
                <w:lang w:eastAsia="pt-BR"/>
              </w:rPr>
              <w:t>R$ 104.436.289,32</w:t>
            </w:r>
          </w:p>
        </w:tc>
        <w:tc>
          <w:tcPr>
            <w:tcW w:w="1960" w:type="dxa"/>
            <w:vMerge w:val="restart"/>
            <w:tcBorders>
              <w:top w:val="double" w:sz="6" w:space="0" w:color="000000"/>
              <w:left w:val="nil"/>
              <w:bottom w:val="single" w:sz="8" w:space="0" w:color="000000"/>
              <w:right w:val="nil"/>
            </w:tcBorders>
            <w:noWrap/>
            <w:vAlign w:val="bottom"/>
            <w:hideMark/>
          </w:tcPr>
          <w:p w:rsidR="00AF3B34" w:rsidRDefault="00AF3B34">
            <w:pPr>
              <w:spacing w:after="120"/>
              <w:jc w:val="center"/>
              <w:rPr>
                <w:rFonts w:ascii="Verdana" w:eastAsia="Times New Roman" w:hAnsi="Verdana"/>
                <w:b/>
                <w:bCs/>
                <w:color w:val="000000"/>
                <w:sz w:val="18"/>
                <w:szCs w:val="18"/>
                <w:lang w:eastAsia="pt-BR"/>
              </w:rPr>
            </w:pPr>
            <w:r>
              <w:rPr>
                <w:rFonts w:ascii="Verdana" w:eastAsia="Times New Roman" w:hAnsi="Verdana"/>
                <w:b/>
                <w:bCs/>
                <w:color w:val="000000"/>
                <w:sz w:val="18"/>
                <w:szCs w:val="18"/>
                <w:lang w:eastAsia="pt-BR"/>
              </w:rPr>
              <w:t>R$ 22.397.521,81</w:t>
            </w:r>
          </w:p>
        </w:tc>
        <w:tc>
          <w:tcPr>
            <w:tcW w:w="2140" w:type="dxa"/>
            <w:vMerge w:val="restart"/>
            <w:tcBorders>
              <w:top w:val="double" w:sz="6" w:space="0" w:color="000000"/>
              <w:left w:val="nil"/>
              <w:bottom w:val="single" w:sz="8" w:space="0" w:color="000000"/>
              <w:right w:val="nil"/>
            </w:tcBorders>
            <w:noWrap/>
            <w:vAlign w:val="bottom"/>
            <w:hideMark/>
          </w:tcPr>
          <w:p w:rsidR="00AF3B34" w:rsidRDefault="00AF3B34">
            <w:pPr>
              <w:spacing w:after="120"/>
              <w:jc w:val="center"/>
              <w:rPr>
                <w:rFonts w:ascii="Verdana" w:eastAsia="Times New Roman" w:hAnsi="Verdana"/>
                <w:b/>
                <w:bCs/>
                <w:color w:val="000000"/>
                <w:sz w:val="18"/>
                <w:szCs w:val="18"/>
                <w:lang w:eastAsia="pt-BR"/>
              </w:rPr>
            </w:pPr>
            <w:r>
              <w:rPr>
                <w:rFonts w:ascii="Verdana" w:eastAsia="Times New Roman" w:hAnsi="Verdana"/>
                <w:b/>
                <w:bCs/>
                <w:color w:val="000000"/>
                <w:sz w:val="18"/>
                <w:szCs w:val="18"/>
                <w:lang w:eastAsia="pt-BR"/>
              </w:rPr>
              <w:t>R$ 58.712.393,63</w:t>
            </w:r>
          </w:p>
        </w:tc>
        <w:tc>
          <w:tcPr>
            <w:tcW w:w="1780" w:type="dxa"/>
            <w:vMerge w:val="restart"/>
            <w:tcBorders>
              <w:top w:val="double" w:sz="6" w:space="0" w:color="000000"/>
              <w:left w:val="nil"/>
              <w:bottom w:val="single" w:sz="8" w:space="0" w:color="000000"/>
              <w:right w:val="nil"/>
            </w:tcBorders>
            <w:noWrap/>
            <w:vAlign w:val="bottom"/>
            <w:hideMark/>
          </w:tcPr>
          <w:p w:rsidR="00AF3B34" w:rsidRDefault="00AF3B34">
            <w:pPr>
              <w:spacing w:after="120"/>
              <w:jc w:val="center"/>
              <w:rPr>
                <w:rFonts w:ascii="Verdana" w:eastAsia="Times New Roman" w:hAnsi="Verdana"/>
                <w:b/>
                <w:bCs/>
                <w:color w:val="000000"/>
                <w:sz w:val="18"/>
                <w:szCs w:val="18"/>
                <w:lang w:eastAsia="pt-BR"/>
              </w:rPr>
            </w:pPr>
            <w:r>
              <w:rPr>
                <w:rFonts w:ascii="Verdana" w:eastAsia="Times New Roman" w:hAnsi="Verdana"/>
                <w:b/>
                <w:bCs/>
                <w:color w:val="000000"/>
                <w:sz w:val="18"/>
                <w:szCs w:val="18"/>
                <w:lang w:eastAsia="pt-BR"/>
              </w:rPr>
              <w:t>46,29%</w:t>
            </w:r>
          </w:p>
        </w:tc>
      </w:tr>
      <w:tr w:rsidR="00AF3B34" w:rsidTr="00AF3B34">
        <w:trPr>
          <w:trHeight w:val="339"/>
        </w:trPr>
        <w:tc>
          <w:tcPr>
            <w:tcW w:w="0" w:type="auto"/>
            <w:vMerge/>
            <w:tcBorders>
              <w:top w:val="double" w:sz="6" w:space="0" w:color="000000"/>
              <w:left w:val="nil"/>
              <w:bottom w:val="single" w:sz="8" w:space="0" w:color="000000"/>
              <w:right w:val="nil"/>
            </w:tcBorders>
            <w:vAlign w:val="center"/>
            <w:hideMark/>
          </w:tcPr>
          <w:p w:rsidR="00AF3B34" w:rsidRDefault="00AF3B34">
            <w:pPr>
              <w:spacing w:after="0"/>
              <w:rPr>
                <w:rFonts w:ascii="Verdana" w:eastAsia="Times New Roman" w:hAnsi="Verdana"/>
                <w:b/>
                <w:bCs/>
                <w:color w:val="000000"/>
                <w:sz w:val="18"/>
                <w:szCs w:val="18"/>
                <w:lang w:eastAsia="pt-BR"/>
              </w:rPr>
            </w:pPr>
          </w:p>
        </w:tc>
        <w:tc>
          <w:tcPr>
            <w:tcW w:w="0" w:type="auto"/>
            <w:vMerge/>
            <w:tcBorders>
              <w:top w:val="double" w:sz="6" w:space="0" w:color="000000"/>
              <w:left w:val="nil"/>
              <w:bottom w:val="single" w:sz="8" w:space="0" w:color="000000"/>
              <w:right w:val="nil"/>
            </w:tcBorders>
            <w:vAlign w:val="center"/>
            <w:hideMark/>
          </w:tcPr>
          <w:p w:rsidR="00AF3B34" w:rsidRDefault="00AF3B34">
            <w:pPr>
              <w:spacing w:after="0"/>
              <w:rPr>
                <w:rFonts w:ascii="Verdana" w:eastAsia="Times New Roman" w:hAnsi="Verdana"/>
                <w:b/>
                <w:bCs/>
                <w:color w:val="000000"/>
                <w:sz w:val="18"/>
                <w:szCs w:val="18"/>
                <w:lang w:eastAsia="pt-BR"/>
              </w:rPr>
            </w:pPr>
          </w:p>
        </w:tc>
        <w:tc>
          <w:tcPr>
            <w:tcW w:w="0" w:type="auto"/>
            <w:vMerge/>
            <w:tcBorders>
              <w:top w:val="double" w:sz="6" w:space="0" w:color="000000"/>
              <w:left w:val="nil"/>
              <w:bottom w:val="single" w:sz="8" w:space="0" w:color="000000"/>
              <w:right w:val="nil"/>
            </w:tcBorders>
            <w:vAlign w:val="center"/>
            <w:hideMark/>
          </w:tcPr>
          <w:p w:rsidR="00AF3B34" w:rsidRDefault="00AF3B34">
            <w:pPr>
              <w:spacing w:after="0"/>
              <w:rPr>
                <w:rFonts w:ascii="Verdana" w:eastAsia="Times New Roman" w:hAnsi="Verdana"/>
                <w:b/>
                <w:bCs/>
                <w:color w:val="000000"/>
                <w:sz w:val="18"/>
                <w:szCs w:val="18"/>
                <w:lang w:eastAsia="pt-BR"/>
              </w:rPr>
            </w:pPr>
          </w:p>
        </w:tc>
        <w:tc>
          <w:tcPr>
            <w:tcW w:w="0" w:type="auto"/>
            <w:vMerge/>
            <w:tcBorders>
              <w:top w:val="double" w:sz="6" w:space="0" w:color="000000"/>
              <w:left w:val="nil"/>
              <w:bottom w:val="single" w:sz="8" w:space="0" w:color="000000"/>
              <w:right w:val="nil"/>
            </w:tcBorders>
            <w:vAlign w:val="center"/>
            <w:hideMark/>
          </w:tcPr>
          <w:p w:rsidR="00AF3B34" w:rsidRDefault="00AF3B34">
            <w:pPr>
              <w:spacing w:after="0"/>
              <w:rPr>
                <w:rFonts w:ascii="Verdana" w:eastAsia="Times New Roman" w:hAnsi="Verdana"/>
                <w:b/>
                <w:bCs/>
                <w:color w:val="000000"/>
                <w:sz w:val="18"/>
                <w:szCs w:val="18"/>
                <w:lang w:eastAsia="pt-BR"/>
              </w:rPr>
            </w:pPr>
          </w:p>
        </w:tc>
        <w:tc>
          <w:tcPr>
            <w:tcW w:w="0" w:type="auto"/>
            <w:vMerge/>
            <w:tcBorders>
              <w:top w:val="double" w:sz="6" w:space="0" w:color="000000"/>
              <w:left w:val="nil"/>
              <w:bottom w:val="single" w:sz="8" w:space="0" w:color="000000"/>
              <w:right w:val="nil"/>
            </w:tcBorders>
            <w:vAlign w:val="center"/>
            <w:hideMark/>
          </w:tcPr>
          <w:p w:rsidR="00AF3B34" w:rsidRDefault="00AF3B34">
            <w:pPr>
              <w:spacing w:after="0"/>
              <w:rPr>
                <w:rFonts w:ascii="Verdana" w:eastAsia="Times New Roman" w:hAnsi="Verdana"/>
                <w:b/>
                <w:bCs/>
                <w:color w:val="000000"/>
                <w:sz w:val="18"/>
                <w:szCs w:val="18"/>
                <w:lang w:eastAsia="pt-BR"/>
              </w:rPr>
            </w:pPr>
          </w:p>
        </w:tc>
      </w:tr>
    </w:tbl>
    <w:p w:rsidR="00AF3B34" w:rsidRDefault="00AF3B34" w:rsidP="00AF3B34">
      <w:pPr>
        <w:tabs>
          <w:tab w:val="left" w:pos="7010"/>
          <w:tab w:val="left" w:pos="8842"/>
        </w:tabs>
        <w:ind w:left="70"/>
        <w:rPr>
          <w:rFonts w:eastAsia="Times New Roman"/>
          <w:lang w:eastAsia="pt-BR"/>
        </w:rPr>
      </w:pPr>
      <w:r>
        <w:rPr>
          <w:rFonts w:eastAsia="Times New Roman"/>
          <w:lang w:eastAsia="pt-BR"/>
        </w:rPr>
        <w:t>Fonte: Banco de dados da Agência das Bacias PCJ e CRHi</w:t>
      </w:r>
    </w:p>
    <w:p w:rsidR="00AF3B34" w:rsidRDefault="00AF3B34" w:rsidP="00AF3B34">
      <w:pPr>
        <w:pStyle w:val="Legenda"/>
      </w:pPr>
      <w:bookmarkStart w:id="8" w:name="_Toc372711069"/>
    </w:p>
    <w:p w:rsidR="00AF3B34" w:rsidRDefault="00AF3B34" w:rsidP="00AF3B34">
      <w:pPr>
        <w:pStyle w:val="Legenda"/>
      </w:pPr>
    </w:p>
    <w:p w:rsidR="00AF3B34" w:rsidRDefault="00AF3B34" w:rsidP="00AF3B34">
      <w:pPr>
        <w:pStyle w:val="Legenda"/>
      </w:pPr>
      <w:r>
        <w:t xml:space="preserve">Estimativa da </w:t>
      </w:r>
      <w:r>
        <w:rPr>
          <w:b/>
        </w:rPr>
        <w:t>arrecadação esperada</w:t>
      </w:r>
      <w:r>
        <w:t xml:space="preserve"> para a Cobrança Paulista.</w:t>
      </w:r>
      <w:bookmarkEnd w:id="8"/>
    </w:p>
    <w:tbl>
      <w:tblPr>
        <w:tblW w:w="9225" w:type="dxa"/>
        <w:tblInd w:w="55" w:type="dxa"/>
        <w:tblLayout w:type="fixed"/>
        <w:tblCellMar>
          <w:left w:w="70" w:type="dxa"/>
          <w:right w:w="70" w:type="dxa"/>
        </w:tblCellMar>
        <w:tblLook w:val="04A0"/>
      </w:tblPr>
      <w:tblGrid>
        <w:gridCol w:w="701"/>
        <w:gridCol w:w="1704"/>
        <w:gridCol w:w="1705"/>
        <w:gridCol w:w="1705"/>
        <w:gridCol w:w="1705"/>
        <w:gridCol w:w="1705"/>
      </w:tblGrid>
      <w:tr w:rsidR="00AF3B34" w:rsidTr="00AF3B34">
        <w:trPr>
          <w:trHeight w:val="315"/>
        </w:trPr>
        <w:tc>
          <w:tcPr>
            <w:tcW w:w="700" w:type="dxa"/>
            <w:tcBorders>
              <w:top w:val="single" w:sz="8" w:space="0" w:color="auto"/>
              <w:left w:val="nil"/>
              <w:bottom w:val="single" w:sz="8"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Ano</w:t>
            </w:r>
          </w:p>
        </w:tc>
        <w:tc>
          <w:tcPr>
            <w:tcW w:w="1705" w:type="dxa"/>
            <w:tcBorders>
              <w:top w:val="single" w:sz="8" w:space="0" w:color="auto"/>
              <w:left w:val="nil"/>
              <w:bottom w:val="single" w:sz="8"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Captações Superficiais</w:t>
            </w:r>
          </w:p>
        </w:tc>
        <w:tc>
          <w:tcPr>
            <w:tcW w:w="1706" w:type="dxa"/>
            <w:tcBorders>
              <w:top w:val="single" w:sz="8" w:space="0" w:color="auto"/>
              <w:left w:val="nil"/>
              <w:bottom w:val="single" w:sz="8"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Captações Subterrâneas</w:t>
            </w:r>
          </w:p>
        </w:tc>
        <w:tc>
          <w:tcPr>
            <w:tcW w:w="1706" w:type="dxa"/>
            <w:tcBorders>
              <w:top w:val="single" w:sz="8" w:space="0" w:color="auto"/>
              <w:left w:val="nil"/>
              <w:bottom w:val="single" w:sz="8"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Lançamentos</w:t>
            </w:r>
          </w:p>
        </w:tc>
        <w:tc>
          <w:tcPr>
            <w:tcW w:w="1706" w:type="dxa"/>
            <w:tcBorders>
              <w:top w:val="single" w:sz="8" w:space="0" w:color="auto"/>
              <w:left w:val="nil"/>
              <w:bottom w:val="single" w:sz="8"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Consumo</w:t>
            </w:r>
          </w:p>
        </w:tc>
        <w:tc>
          <w:tcPr>
            <w:tcW w:w="1706" w:type="dxa"/>
            <w:tcBorders>
              <w:top w:val="single" w:sz="8" w:space="0" w:color="auto"/>
              <w:left w:val="nil"/>
              <w:bottom w:val="single" w:sz="8" w:space="0" w:color="auto"/>
              <w:right w:val="nil"/>
            </w:tcBorders>
            <w:vAlign w:val="center"/>
            <w:hideMark/>
          </w:tcPr>
          <w:p w:rsidR="00AF3B34" w:rsidRDefault="00AF3B34">
            <w:pPr>
              <w:spacing w:after="120"/>
              <w:jc w:val="center"/>
              <w:rPr>
                <w:rFonts w:ascii="Times New Roman" w:eastAsia="Times New Roman" w:hAnsi="Times New Roman"/>
                <w:b/>
                <w:color w:val="000000"/>
                <w:lang w:eastAsia="pt-BR"/>
              </w:rPr>
            </w:pPr>
            <w:r>
              <w:rPr>
                <w:rFonts w:ascii="Times New Roman" w:eastAsia="Times New Roman" w:hAnsi="Times New Roman"/>
                <w:b/>
                <w:color w:val="000000"/>
                <w:lang w:eastAsia="pt-BR"/>
              </w:rPr>
              <w:t>Total</w:t>
            </w:r>
          </w:p>
        </w:tc>
      </w:tr>
      <w:tr w:rsidR="00AF3B34" w:rsidTr="00AF3B34">
        <w:trPr>
          <w:trHeight w:val="300"/>
        </w:trPr>
        <w:tc>
          <w:tcPr>
            <w:tcW w:w="700"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2014</w:t>
            </w:r>
          </w:p>
        </w:tc>
        <w:tc>
          <w:tcPr>
            <w:tcW w:w="1705"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6.997.887,00</w:t>
            </w:r>
          </w:p>
        </w:tc>
        <w:tc>
          <w:tcPr>
            <w:tcW w:w="1706"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1.109.501,30</w:t>
            </w:r>
          </w:p>
        </w:tc>
        <w:tc>
          <w:tcPr>
            <w:tcW w:w="1706"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4.320.829,44</w:t>
            </w:r>
          </w:p>
        </w:tc>
        <w:tc>
          <w:tcPr>
            <w:tcW w:w="1706"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6.401.340,90</w:t>
            </w:r>
          </w:p>
        </w:tc>
        <w:tc>
          <w:tcPr>
            <w:tcW w:w="1706"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18.829.558,64</w:t>
            </w:r>
          </w:p>
        </w:tc>
      </w:tr>
      <w:tr w:rsidR="00AF3B34" w:rsidTr="00AF3B34">
        <w:trPr>
          <w:trHeight w:val="300"/>
        </w:trPr>
        <w:tc>
          <w:tcPr>
            <w:tcW w:w="700"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2015</w:t>
            </w:r>
          </w:p>
        </w:tc>
        <w:tc>
          <w:tcPr>
            <w:tcW w:w="1705"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7.531.498,78</w:t>
            </w:r>
          </w:p>
        </w:tc>
        <w:tc>
          <w:tcPr>
            <w:tcW w:w="1706"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1.193.922,78</w:t>
            </w:r>
          </w:p>
        </w:tc>
        <w:tc>
          <w:tcPr>
            <w:tcW w:w="1706"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4.684.882,33</w:t>
            </w:r>
          </w:p>
        </w:tc>
        <w:tc>
          <w:tcPr>
            <w:tcW w:w="1706"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6.946.134,14</w:t>
            </w:r>
          </w:p>
        </w:tc>
        <w:tc>
          <w:tcPr>
            <w:tcW w:w="1706"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20.356.438,03</w:t>
            </w:r>
          </w:p>
        </w:tc>
      </w:tr>
      <w:tr w:rsidR="00AF3B34" w:rsidTr="00AF3B34">
        <w:trPr>
          <w:trHeight w:val="315"/>
        </w:trPr>
        <w:tc>
          <w:tcPr>
            <w:tcW w:w="700" w:type="dxa"/>
            <w:tcBorders>
              <w:top w:val="nil"/>
              <w:left w:val="nil"/>
              <w:bottom w:val="single" w:sz="8"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2016</w:t>
            </w:r>
          </w:p>
        </w:tc>
        <w:tc>
          <w:tcPr>
            <w:tcW w:w="1705" w:type="dxa"/>
            <w:tcBorders>
              <w:top w:val="nil"/>
              <w:left w:val="nil"/>
              <w:bottom w:val="single" w:sz="8"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8.124.387,93</w:t>
            </w:r>
          </w:p>
        </w:tc>
        <w:tc>
          <w:tcPr>
            <w:tcW w:w="1706" w:type="dxa"/>
            <w:tcBorders>
              <w:top w:val="nil"/>
              <w:left w:val="nil"/>
              <w:bottom w:val="single" w:sz="8"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1.287.652,95</w:t>
            </w:r>
          </w:p>
        </w:tc>
        <w:tc>
          <w:tcPr>
            <w:tcW w:w="1706" w:type="dxa"/>
            <w:tcBorders>
              <w:top w:val="nil"/>
              <w:left w:val="nil"/>
              <w:bottom w:val="single" w:sz="8"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5.074.676,29</w:t>
            </w:r>
          </w:p>
        </w:tc>
        <w:tc>
          <w:tcPr>
            <w:tcW w:w="1706" w:type="dxa"/>
            <w:tcBorders>
              <w:top w:val="nil"/>
              <w:left w:val="nil"/>
              <w:bottom w:val="single" w:sz="8"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7.518.168,40</w:t>
            </w:r>
          </w:p>
        </w:tc>
        <w:tc>
          <w:tcPr>
            <w:tcW w:w="1706" w:type="dxa"/>
            <w:tcBorders>
              <w:top w:val="nil"/>
              <w:left w:val="nil"/>
              <w:bottom w:val="single" w:sz="8"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22.004.885,57</w:t>
            </w:r>
          </w:p>
        </w:tc>
      </w:tr>
    </w:tbl>
    <w:p w:rsidR="00AF3B34" w:rsidRDefault="00AF3B34" w:rsidP="00AF3B34">
      <w:pPr>
        <w:rPr>
          <w:rFonts w:ascii="Times New Roman" w:hAnsi="Times New Roman"/>
          <w:sz w:val="20"/>
          <w:szCs w:val="20"/>
        </w:rPr>
      </w:pPr>
      <w:r>
        <w:rPr>
          <w:rFonts w:ascii="Times New Roman" w:hAnsi="Times New Roman"/>
          <w:sz w:val="20"/>
          <w:szCs w:val="20"/>
        </w:rPr>
        <w:t>Nota: Não se levou em consideração ganhos ou perdas na arrecadação devido a aumento na demanda ou decréscimo pela remoção de cargas.</w:t>
      </w:r>
    </w:p>
    <w:p w:rsidR="00AF3B34" w:rsidRDefault="00AF3B34" w:rsidP="00AF3B34">
      <w:pPr>
        <w:rPr>
          <w:sz w:val="24"/>
          <w:szCs w:val="24"/>
        </w:rPr>
      </w:pPr>
    </w:p>
    <w:p w:rsidR="00AF3B34" w:rsidRDefault="00AF3B34" w:rsidP="00AF3B34">
      <w:pPr>
        <w:rPr>
          <w:sz w:val="24"/>
          <w:szCs w:val="24"/>
        </w:rPr>
      </w:pPr>
    </w:p>
    <w:p w:rsidR="00AF3B34" w:rsidRDefault="00AF3B34" w:rsidP="00AF3B34">
      <w:pPr>
        <w:rPr>
          <w:sz w:val="24"/>
          <w:szCs w:val="24"/>
        </w:rPr>
      </w:pPr>
    </w:p>
    <w:p w:rsidR="00AF3B34" w:rsidRDefault="00AF3B34" w:rsidP="00AF3B34">
      <w:pPr>
        <w:spacing w:after="0"/>
        <w:rPr>
          <w:sz w:val="24"/>
          <w:szCs w:val="24"/>
        </w:rPr>
        <w:sectPr w:rsidR="00AF3B34">
          <w:pgSz w:w="11906" w:h="16838"/>
          <w:pgMar w:top="1950" w:right="1134" w:bottom="567" w:left="1418" w:header="425" w:footer="709" w:gutter="0"/>
          <w:cols w:space="720"/>
        </w:sectPr>
      </w:pPr>
    </w:p>
    <w:p w:rsidR="00AF3B34" w:rsidRDefault="00AF3B34" w:rsidP="00AF3B34">
      <w:pPr>
        <w:rPr>
          <w:b/>
          <w:sz w:val="36"/>
          <w:szCs w:val="36"/>
        </w:rPr>
      </w:pPr>
      <w:r>
        <w:rPr>
          <w:b/>
          <w:sz w:val="36"/>
          <w:szCs w:val="36"/>
        </w:rPr>
        <w:lastRenderedPageBreak/>
        <w:t xml:space="preserve">IMPACTOS ECONÔMICOS </w:t>
      </w:r>
    </w:p>
    <w:p w:rsidR="00AF3B34" w:rsidRDefault="00AF3B34" w:rsidP="00AF3B34">
      <w:pPr>
        <w:tabs>
          <w:tab w:val="left" w:pos="7010"/>
          <w:tab w:val="left" w:pos="8842"/>
        </w:tabs>
        <w:ind w:left="70"/>
        <w:rPr>
          <w:rFonts w:ascii="Times New Roman" w:hAnsi="Times New Roman"/>
          <w:sz w:val="24"/>
          <w:szCs w:val="24"/>
          <w:highlight w:val="yellow"/>
        </w:rPr>
      </w:pPr>
    </w:p>
    <w:p w:rsidR="00AF3B34" w:rsidRDefault="00AF3B34" w:rsidP="00AF3B34">
      <w:pPr>
        <w:tabs>
          <w:tab w:val="left" w:pos="7010"/>
          <w:tab w:val="left" w:pos="8842"/>
        </w:tabs>
        <w:ind w:left="70"/>
        <w:rPr>
          <w:rFonts w:ascii="Times New Roman" w:hAnsi="Times New Roman"/>
          <w:sz w:val="24"/>
          <w:szCs w:val="24"/>
        </w:rPr>
      </w:pPr>
      <w:r>
        <w:rPr>
          <w:rFonts w:ascii="Times New Roman" w:hAnsi="Times New Roman"/>
          <w:sz w:val="24"/>
          <w:szCs w:val="24"/>
        </w:rPr>
        <w:t>A análise dos dados dos municípios tem um histórico de dados suficientes disponibilizados no SNIS. A Figura abaixo mostra que foram avaliados todos os municípios (inclusive aqueles operados pela SABESP) com captações e lançamentos exclusivos em águas de domínio estadual paulista.</w:t>
      </w:r>
    </w:p>
    <w:p w:rsidR="00AF3B34" w:rsidRDefault="00AF3B34" w:rsidP="00AF3B34">
      <w:pPr>
        <w:rPr>
          <w:sz w:val="24"/>
          <w:szCs w:val="24"/>
        </w:rPr>
      </w:pPr>
      <w:r>
        <w:rPr>
          <w:rFonts w:ascii="Times New Roman" w:eastAsia="Times New Roman" w:hAnsi="Times New Roman"/>
          <w:b/>
          <w:noProof/>
          <w:sz w:val="24"/>
          <w:szCs w:val="24"/>
          <w:lang w:eastAsia="pt-BR"/>
        </w:rPr>
        <w:drawing>
          <wp:inline distT="0" distB="0" distL="0" distR="0">
            <wp:extent cx="9756775" cy="2582545"/>
            <wp:effectExtent l="0" t="0" r="0" b="0"/>
            <wp:docPr id="1" name="Image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F3B34" w:rsidRDefault="00AF3B34" w:rsidP="00AF3B34">
      <w:pPr>
        <w:rPr>
          <w:sz w:val="24"/>
          <w:szCs w:val="24"/>
        </w:rPr>
      </w:pPr>
    </w:p>
    <w:p w:rsidR="00AF3B34" w:rsidRDefault="00AF3B34" w:rsidP="00AF3B34">
      <w:pPr>
        <w:rPr>
          <w:sz w:val="24"/>
          <w:szCs w:val="24"/>
        </w:rPr>
      </w:pPr>
    </w:p>
    <w:p w:rsidR="00AF3B34" w:rsidRDefault="00AF3B34" w:rsidP="00AF3B34">
      <w:pPr>
        <w:rPr>
          <w:sz w:val="24"/>
          <w:szCs w:val="24"/>
        </w:rPr>
      </w:pPr>
      <w:r>
        <w:rPr>
          <w:rFonts w:ascii="Times New Roman" w:eastAsia="Times New Roman" w:hAnsi="Times New Roman"/>
          <w:b/>
          <w:noProof/>
          <w:sz w:val="24"/>
          <w:szCs w:val="24"/>
          <w:lang w:eastAsia="pt-BR"/>
        </w:rPr>
        <w:lastRenderedPageBreak/>
        <w:drawing>
          <wp:inline distT="0" distB="0" distL="0" distR="0">
            <wp:extent cx="9304655" cy="2552065"/>
            <wp:effectExtent l="0" t="0" r="0" b="0"/>
            <wp:docPr id="2"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F3B34" w:rsidRDefault="00AF3B34" w:rsidP="00AF3B34">
      <w:pPr>
        <w:rPr>
          <w:sz w:val="24"/>
          <w:szCs w:val="24"/>
        </w:rPr>
      </w:pPr>
    </w:p>
    <w:p w:rsidR="00AF3B34" w:rsidRDefault="00AF3B34" w:rsidP="00AF3B34">
      <w:pPr>
        <w:pStyle w:val="Legenda"/>
      </w:pPr>
      <w:r>
        <w:t>Impacto da cobrança na receita operacional dos principais municípios contribuintes nas Bacias PCJ (2007-2010)</w:t>
      </w:r>
    </w:p>
    <w:p w:rsidR="00AF3B34" w:rsidRDefault="00AF3B34" w:rsidP="00AF3B34">
      <w:pPr>
        <w:rPr>
          <w:rFonts w:ascii="Times New Roman" w:hAnsi="Times New Roman"/>
          <w:lang w:eastAsia="pt-BR"/>
        </w:rPr>
      </w:pPr>
      <w:r>
        <w:rPr>
          <w:rFonts w:ascii="Times New Roman" w:hAnsi="Times New Roman"/>
          <w:lang w:eastAsia="pt-BR"/>
        </w:rPr>
        <w:t>Nota: A realização do cálculo de impacto da cobrança foi possível apenas para os municípios com declarações válidas no Sistema Nacional de  Informações sobre Saneamento – SNIS.</w:t>
      </w:r>
    </w:p>
    <w:p w:rsidR="00AF3B34" w:rsidRDefault="00AF3B34" w:rsidP="00AF3B34">
      <w:pPr>
        <w:rPr>
          <w:rFonts w:ascii="Times New Roman" w:hAnsi="Times New Roman"/>
          <w:lang w:eastAsia="pt-BR"/>
        </w:rPr>
      </w:pPr>
      <w:r>
        <w:rPr>
          <w:rFonts w:ascii="Times New Roman" w:hAnsi="Times New Roman"/>
          <w:lang w:eastAsia="pt-BR"/>
        </w:rPr>
        <w:t xml:space="preserve">Fontes: Levantamento baseado em dados do Banco de dados da Cobrança pelo uso dos Recursos Hídricos  e em dados do SNIS (2005-2010) </w:t>
      </w:r>
    </w:p>
    <w:p w:rsidR="00AF3B34" w:rsidRDefault="00AF3B34" w:rsidP="00AF3B34">
      <w:pPr>
        <w:tabs>
          <w:tab w:val="left" w:pos="7010"/>
          <w:tab w:val="left" w:pos="8842"/>
        </w:tabs>
        <w:rPr>
          <w:rFonts w:ascii="Times New Roman" w:eastAsia="Times New Roman" w:hAnsi="Times New Roman"/>
          <w:b/>
          <w:sz w:val="24"/>
          <w:szCs w:val="24"/>
          <w:lang w:eastAsia="pt-BR"/>
        </w:rPr>
      </w:pPr>
    </w:p>
    <w:p w:rsidR="00AF3B34" w:rsidRDefault="00AF3B34" w:rsidP="00AF3B34">
      <w:pPr>
        <w:tabs>
          <w:tab w:val="left" w:pos="7010"/>
          <w:tab w:val="left" w:pos="8842"/>
        </w:tabs>
        <w:rPr>
          <w:rFonts w:ascii="Times New Roman" w:hAnsi="Times New Roman"/>
          <w:sz w:val="24"/>
          <w:szCs w:val="24"/>
        </w:rPr>
      </w:pPr>
      <w:r>
        <w:rPr>
          <w:rFonts w:ascii="Times New Roman" w:hAnsi="Times New Roman"/>
          <w:sz w:val="24"/>
          <w:szCs w:val="24"/>
        </w:rPr>
        <w:t>A Figura acima demonstra que o impacto da cobrança na receita operacional dos principais municípios contribuintes nas Bacias PCJ, atualmente, está em média, na faixa de 4%. Os municípios de Rafard e Santo Antonio de Posse que, inicialmente tinham um impacto da ordem de 10% e 12%, respectivamente, hoje também reduziram este impacto para a faixa de 7%  e 5%, em função de ajustes na outorga quando do ato declaratório.</w:t>
      </w: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pStyle w:val="PargrafodaLista"/>
        <w:rPr>
          <w:rFonts w:ascii="Times New Roman" w:hAnsi="Times New Roman"/>
          <w:sz w:val="24"/>
          <w:szCs w:val="24"/>
        </w:rPr>
      </w:pPr>
      <w:r>
        <w:rPr>
          <w:rFonts w:ascii="Times New Roman" w:hAnsi="Times New Roman"/>
          <w:sz w:val="24"/>
          <w:szCs w:val="24"/>
        </w:rPr>
        <w:br w:type="page"/>
      </w:r>
      <w:r>
        <w:rPr>
          <w:rFonts w:ascii="Times New Roman" w:hAnsi="Times New Roman"/>
          <w:b/>
          <w:sz w:val="24"/>
          <w:szCs w:val="24"/>
        </w:rPr>
        <w:lastRenderedPageBreak/>
        <w:t>Cálculo dos Impactos sobre as atividades do setor Industrial através do VALOR ADICIONADO FISCAL</w:t>
      </w:r>
      <w:r>
        <w:rPr>
          <w:rFonts w:ascii="Times New Roman" w:hAnsi="Times New Roman"/>
          <w:sz w:val="24"/>
          <w:szCs w:val="24"/>
        </w:rPr>
        <w:t>.</w:t>
      </w:r>
    </w:p>
    <w:p w:rsidR="00AF3B34" w:rsidRDefault="00AF3B34" w:rsidP="00AF3B34">
      <w:pPr>
        <w:rPr>
          <w:rFonts w:ascii="Times New Roman" w:hAnsi="Times New Roman"/>
          <w:sz w:val="24"/>
          <w:szCs w:val="24"/>
        </w:rPr>
      </w:pPr>
      <w:r>
        <w:rPr>
          <w:rFonts w:ascii="Times New Roman" w:hAnsi="Times New Roman"/>
          <w:sz w:val="24"/>
          <w:szCs w:val="24"/>
        </w:rPr>
        <w:t xml:space="preserve"> Neste primeiro caso, trabalharemos com informações referentes aos segmentos de papel e celulose, combustíveis, têxtil e produtos químicos. Ressalta-se que na pesquisa foram selecionados os 30 maiores usuários pagadores e que representam aproximadamente 55% da arrecadação do setor industrial da cobrança paulista, bem como a totalidade dos usuários industriais pagadores da cobrança federal dos setores mencionados anteriormente. Destaca-se também a comparação realizada entre o valor total pago para as cobranças PCJ e o valor adicionado fiscal do respectivo setor industrial no município correspondente à localização do empreendimento. De acordo com a Fundação Seade, entende-se por valor adicionado fiscal, para cada município e setor, a diferença entre o valor das saídas de mercadorias e o valor das entradas de mercadorias adquiridas, em cada ano civil. Todos os valores estão com base em dezembro de 2013 e os valores monetários de períodos anteriores foram atualizados pelo Índice Geral de Preços – Disponibilidade Interna – IGP-DI, da Fundação Getúlio Vargas – FGV.</w:t>
      </w:r>
    </w:p>
    <w:tbl>
      <w:tblPr>
        <w:tblW w:w="13729" w:type="dxa"/>
        <w:tblCellMar>
          <w:left w:w="70" w:type="dxa"/>
          <w:right w:w="70" w:type="dxa"/>
        </w:tblCellMar>
        <w:tblLook w:val="04A0"/>
      </w:tblPr>
      <w:tblGrid>
        <w:gridCol w:w="2278"/>
        <w:gridCol w:w="1387"/>
        <w:gridCol w:w="1433"/>
        <w:gridCol w:w="1387"/>
        <w:gridCol w:w="1433"/>
        <w:gridCol w:w="1778"/>
        <w:gridCol w:w="2707"/>
        <w:gridCol w:w="1326"/>
      </w:tblGrid>
      <w:tr w:rsidR="00AF3B34" w:rsidTr="00AF3B34">
        <w:trPr>
          <w:trHeight w:val="315"/>
        </w:trPr>
        <w:tc>
          <w:tcPr>
            <w:tcW w:w="12403" w:type="dxa"/>
            <w:gridSpan w:val="7"/>
            <w:noWrap/>
            <w:vAlign w:val="bottom"/>
            <w:hideMark/>
          </w:tcPr>
          <w:p w:rsidR="00AF3B34" w:rsidRDefault="00AF3B34">
            <w:pPr>
              <w:pStyle w:val="Legenda"/>
              <w:jc w:val="both"/>
              <w:rPr>
                <w:lang w:eastAsia="en-US"/>
              </w:rPr>
            </w:pPr>
            <w:r>
              <w:rPr>
                <w:lang w:eastAsia="en-US"/>
              </w:rPr>
              <w:t>Representatividade das cobranças PCJ no valor adicional fiscal da indústria de papel e celulose - valores em R$ 2013</w:t>
            </w:r>
          </w:p>
        </w:tc>
        <w:tc>
          <w:tcPr>
            <w:tcW w:w="1326" w:type="dxa"/>
            <w:noWrap/>
            <w:vAlign w:val="bottom"/>
            <w:hideMark/>
          </w:tcPr>
          <w:p w:rsidR="00AF3B34" w:rsidRDefault="00AF3B34">
            <w:pPr>
              <w:spacing w:after="0"/>
              <w:jc w:val="both"/>
              <w:rPr>
                <w:rFonts w:cs="Times New Roman"/>
              </w:rPr>
            </w:pPr>
          </w:p>
        </w:tc>
      </w:tr>
      <w:tr w:rsidR="00AF3B34" w:rsidTr="00AF3B34">
        <w:trPr>
          <w:trHeight w:val="315"/>
        </w:trPr>
        <w:tc>
          <w:tcPr>
            <w:tcW w:w="2278" w:type="dxa"/>
            <w:vMerge w:val="restart"/>
            <w:tcBorders>
              <w:top w:val="single" w:sz="8" w:space="0" w:color="auto"/>
              <w:left w:val="nil"/>
              <w:bottom w:val="single" w:sz="8" w:space="0" w:color="000000"/>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Local</w:t>
            </w:r>
          </w:p>
        </w:tc>
        <w:tc>
          <w:tcPr>
            <w:tcW w:w="2820"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Cobrança estadual</w:t>
            </w:r>
          </w:p>
        </w:tc>
        <w:tc>
          <w:tcPr>
            <w:tcW w:w="2820"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Cobrança federal</w:t>
            </w:r>
          </w:p>
        </w:tc>
        <w:tc>
          <w:tcPr>
            <w:tcW w:w="1778" w:type="dxa"/>
            <w:vMerge w:val="restart"/>
            <w:tcBorders>
              <w:top w:val="single" w:sz="8" w:space="0" w:color="auto"/>
              <w:left w:val="nil"/>
              <w:bottom w:val="single" w:sz="8" w:space="0" w:color="000000"/>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 Cobranças PCJ</w:t>
            </w:r>
          </w:p>
        </w:tc>
        <w:tc>
          <w:tcPr>
            <w:tcW w:w="2707" w:type="dxa"/>
            <w:vMerge w:val="restart"/>
            <w:tcBorders>
              <w:top w:val="single" w:sz="8" w:space="0" w:color="auto"/>
              <w:left w:val="nil"/>
              <w:bottom w:val="single" w:sz="8" w:space="0" w:color="000000"/>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VAF Setor Município</w:t>
            </w:r>
          </w:p>
        </w:tc>
        <w:tc>
          <w:tcPr>
            <w:tcW w:w="1326" w:type="dxa"/>
            <w:vMerge w:val="restart"/>
            <w:tcBorders>
              <w:top w:val="single" w:sz="8" w:space="0" w:color="auto"/>
              <w:left w:val="nil"/>
              <w:bottom w:val="single" w:sz="8" w:space="0" w:color="000000"/>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Participação</w:t>
            </w:r>
          </w:p>
        </w:tc>
      </w:tr>
      <w:tr w:rsidR="00AF3B34" w:rsidTr="00AF3B34">
        <w:trPr>
          <w:trHeight w:val="315"/>
        </w:trPr>
        <w:tc>
          <w:tcPr>
            <w:tcW w:w="0" w:type="auto"/>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lang w:eastAsia="pt-BR"/>
              </w:rPr>
            </w:pPr>
          </w:p>
        </w:tc>
        <w:tc>
          <w:tcPr>
            <w:tcW w:w="1387" w:type="dxa"/>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Qtd. Usuários</w:t>
            </w:r>
          </w:p>
        </w:tc>
        <w:tc>
          <w:tcPr>
            <w:tcW w:w="1433" w:type="dxa"/>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Valor pago</w:t>
            </w:r>
          </w:p>
        </w:tc>
        <w:tc>
          <w:tcPr>
            <w:tcW w:w="1387" w:type="dxa"/>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Qtd. Usuários</w:t>
            </w:r>
          </w:p>
        </w:tc>
        <w:tc>
          <w:tcPr>
            <w:tcW w:w="1433" w:type="dxa"/>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Valor pago</w:t>
            </w:r>
          </w:p>
        </w:tc>
        <w:tc>
          <w:tcPr>
            <w:tcW w:w="0" w:type="auto"/>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lang w:eastAsia="pt-BR"/>
              </w:rPr>
            </w:pPr>
          </w:p>
        </w:tc>
        <w:tc>
          <w:tcPr>
            <w:tcW w:w="0" w:type="auto"/>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lang w:eastAsia="pt-BR"/>
              </w:rPr>
            </w:pPr>
          </w:p>
        </w:tc>
        <w:tc>
          <w:tcPr>
            <w:tcW w:w="0" w:type="auto"/>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lang w:eastAsia="pt-BR"/>
              </w:rPr>
            </w:pPr>
          </w:p>
        </w:tc>
      </w:tr>
      <w:tr w:rsidR="00AF3B34" w:rsidTr="00AF3B34">
        <w:trPr>
          <w:trHeight w:val="300"/>
        </w:trPr>
        <w:tc>
          <w:tcPr>
            <w:tcW w:w="2278" w:type="dxa"/>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Bom Jesus dos Perdões</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R$ 4.940,11</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R$ 0,00</w:t>
            </w:r>
          </w:p>
        </w:tc>
        <w:tc>
          <w:tcPr>
            <w:tcW w:w="1778"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R$ 4.940,11</w:t>
            </w:r>
          </w:p>
        </w:tc>
        <w:tc>
          <w:tcPr>
            <w:tcW w:w="270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R$ 10.299.882,00</w:t>
            </w:r>
          </w:p>
        </w:tc>
        <w:tc>
          <w:tcPr>
            <w:tcW w:w="1326"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0,05</w:t>
            </w:r>
          </w:p>
        </w:tc>
      </w:tr>
      <w:tr w:rsidR="00AF3B34" w:rsidTr="00AF3B34">
        <w:trPr>
          <w:trHeight w:val="300"/>
        </w:trPr>
        <w:tc>
          <w:tcPr>
            <w:tcW w:w="2278" w:type="dxa"/>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Bragança Paulista</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R$ 0,00</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R$ 36.389,60</w:t>
            </w:r>
          </w:p>
        </w:tc>
        <w:tc>
          <w:tcPr>
            <w:tcW w:w="1778"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R$ 36.389,60</w:t>
            </w:r>
          </w:p>
        </w:tc>
        <w:tc>
          <w:tcPr>
            <w:tcW w:w="270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R$ 322.240.559,00</w:t>
            </w:r>
          </w:p>
        </w:tc>
        <w:tc>
          <w:tcPr>
            <w:tcW w:w="1326"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0,01</w:t>
            </w:r>
          </w:p>
        </w:tc>
      </w:tr>
      <w:tr w:rsidR="00AF3B34" w:rsidTr="00AF3B34">
        <w:trPr>
          <w:trHeight w:val="300"/>
        </w:trPr>
        <w:tc>
          <w:tcPr>
            <w:tcW w:w="2278" w:type="dxa"/>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Cordeirópolis</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R$ 35.723,63</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R$ 0,00</w:t>
            </w:r>
          </w:p>
        </w:tc>
        <w:tc>
          <w:tcPr>
            <w:tcW w:w="1778"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R$ 35.723,63</w:t>
            </w:r>
          </w:p>
        </w:tc>
        <w:tc>
          <w:tcPr>
            <w:tcW w:w="270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R$ 17.616.788,00</w:t>
            </w:r>
          </w:p>
        </w:tc>
        <w:tc>
          <w:tcPr>
            <w:tcW w:w="1326"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0,20</w:t>
            </w:r>
          </w:p>
        </w:tc>
      </w:tr>
      <w:tr w:rsidR="00AF3B34" w:rsidTr="00AF3B34">
        <w:trPr>
          <w:trHeight w:val="300"/>
        </w:trPr>
        <w:tc>
          <w:tcPr>
            <w:tcW w:w="2278" w:type="dxa"/>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Itatiba</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R$ 2.414,48</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R$ 0,00</w:t>
            </w:r>
          </w:p>
        </w:tc>
        <w:tc>
          <w:tcPr>
            <w:tcW w:w="1778"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R$ 2.414,48</w:t>
            </w:r>
          </w:p>
        </w:tc>
        <w:tc>
          <w:tcPr>
            <w:tcW w:w="270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R$ 4.039.698,00</w:t>
            </w:r>
          </w:p>
        </w:tc>
        <w:tc>
          <w:tcPr>
            <w:tcW w:w="1326"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0,06</w:t>
            </w:r>
          </w:p>
        </w:tc>
      </w:tr>
      <w:tr w:rsidR="00AF3B34" w:rsidTr="00AF3B34">
        <w:trPr>
          <w:trHeight w:val="300"/>
        </w:trPr>
        <w:tc>
          <w:tcPr>
            <w:tcW w:w="2278" w:type="dxa"/>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Jundiaí</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R$ 18.005,22</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R$ 0,00</w:t>
            </w:r>
          </w:p>
        </w:tc>
        <w:tc>
          <w:tcPr>
            <w:tcW w:w="1778"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R$ 18.005,22</w:t>
            </w:r>
          </w:p>
        </w:tc>
        <w:tc>
          <w:tcPr>
            <w:tcW w:w="270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R$ 334.874.274,00</w:t>
            </w:r>
          </w:p>
        </w:tc>
        <w:tc>
          <w:tcPr>
            <w:tcW w:w="1326"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0,01</w:t>
            </w:r>
          </w:p>
        </w:tc>
      </w:tr>
      <w:tr w:rsidR="00AF3B34" w:rsidTr="00AF3B34">
        <w:trPr>
          <w:trHeight w:val="300"/>
        </w:trPr>
        <w:tc>
          <w:tcPr>
            <w:tcW w:w="2278" w:type="dxa"/>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Limeira</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R$ 44.084,13</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R$ 391.062,67</w:t>
            </w:r>
          </w:p>
        </w:tc>
        <w:tc>
          <w:tcPr>
            <w:tcW w:w="1778"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R$ 435.146,80</w:t>
            </w:r>
          </w:p>
        </w:tc>
        <w:tc>
          <w:tcPr>
            <w:tcW w:w="270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R$ 850.706.883,00</w:t>
            </w:r>
          </w:p>
        </w:tc>
        <w:tc>
          <w:tcPr>
            <w:tcW w:w="1326"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0,05</w:t>
            </w:r>
          </w:p>
        </w:tc>
      </w:tr>
      <w:tr w:rsidR="00AF3B34" w:rsidTr="00AF3B34">
        <w:trPr>
          <w:trHeight w:val="300"/>
        </w:trPr>
        <w:tc>
          <w:tcPr>
            <w:tcW w:w="2278" w:type="dxa"/>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Paulínia</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R$ 0,00</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R$ 49.341,14</w:t>
            </w:r>
          </w:p>
        </w:tc>
        <w:tc>
          <w:tcPr>
            <w:tcW w:w="1778"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R$ 49.341,14</w:t>
            </w:r>
          </w:p>
        </w:tc>
        <w:tc>
          <w:tcPr>
            <w:tcW w:w="270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R$ 154.402.846,00</w:t>
            </w:r>
          </w:p>
        </w:tc>
        <w:tc>
          <w:tcPr>
            <w:tcW w:w="1326"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0,03</w:t>
            </w:r>
          </w:p>
        </w:tc>
      </w:tr>
      <w:tr w:rsidR="00AF3B34" w:rsidTr="00AF3B34">
        <w:trPr>
          <w:trHeight w:val="300"/>
        </w:trPr>
        <w:tc>
          <w:tcPr>
            <w:tcW w:w="2278" w:type="dxa"/>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Piracicaba</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R$ 0,00</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R$ 61.312,23</w:t>
            </w:r>
          </w:p>
        </w:tc>
        <w:tc>
          <w:tcPr>
            <w:tcW w:w="1778"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R$ 61.312,23</w:t>
            </w:r>
          </w:p>
        </w:tc>
        <w:tc>
          <w:tcPr>
            <w:tcW w:w="270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R$ 396.716.327,00</w:t>
            </w:r>
          </w:p>
        </w:tc>
        <w:tc>
          <w:tcPr>
            <w:tcW w:w="1326"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0,02</w:t>
            </w:r>
          </w:p>
        </w:tc>
      </w:tr>
      <w:tr w:rsidR="00AF3B34" w:rsidTr="00AF3B34">
        <w:trPr>
          <w:trHeight w:val="315"/>
        </w:trPr>
        <w:tc>
          <w:tcPr>
            <w:tcW w:w="2278" w:type="dxa"/>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Valinhos</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R$ 29.011,46</w:t>
            </w:r>
          </w:p>
        </w:tc>
        <w:tc>
          <w:tcPr>
            <w:tcW w:w="138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w:t>
            </w:r>
          </w:p>
        </w:tc>
        <w:tc>
          <w:tcPr>
            <w:tcW w:w="143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R$ 0,00</w:t>
            </w:r>
          </w:p>
        </w:tc>
        <w:tc>
          <w:tcPr>
            <w:tcW w:w="1778"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R$ 29.011,46</w:t>
            </w:r>
          </w:p>
        </w:tc>
        <w:tc>
          <w:tcPr>
            <w:tcW w:w="2707"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R$ 408.315.056,00</w:t>
            </w:r>
          </w:p>
        </w:tc>
        <w:tc>
          <w:tcPr>
            <w:tcW w:w="1326"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0,01</w:t>
            </w:r>
          </w:p>
        </w:tc>
      </w:tr>
      <w:tr w:rsidR="00AF3B34" w:rsidTr="00AF3B34">
        <w:trPr>
          <w:trHeight w:val="315"/>
        </w:trPr>
        <w:tc>
          <w:tcPr>
            <w:tcW w:w="2278" w:type="dxa"/>
            <w:tcBorders>
              <w:top w:val="single" w:sz="8" w:space="0" w:color="auto"/>
              <w:left w:val="nil"/>
              <w:bottom w:val="single" w:sz="8" w:space="0" w:color="auto"/>
              <w:right w:val="nil"/>
            </w:tcBorders>
            <w:noWrap/>
            <w:vAlign w:val="bottom"/>
            <w:hideMark/>
          </w:tcPr>
          <w:p w:rsidR="00AF3B34" w:rsidRDefault="00AF3B34">
            <w:pPr>
              <w:spacing w:after="120"/>
              <w:jc w:val="both"/>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w:t>
            </w:r>
          </w:p>
        </w:tc>
        <w:tc>
          <w:tcPr>
            <w:tcW w:w="1387"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11</w:t>
            </w:r>
          </w:p>
        </w:tc>
        <w:tc>
          <w:tcPr>
            <w:tcW w:w="1433"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R$ 134.179,03</w:t>
            </w:r>
          </w:p>
        </w:tc>
        <w:tc>
          <w:tcPr>
            <w:tcW w:w="1387"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6</w:t>
            </w:r>
          </w:p>
        </w:tc>
        <w:tc>
          <w:tcPr>
            <w:tcW w:w="1433"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R$ 538.105,64</w:t>
            </w:r>
          </w:p>
        </w:tc>
        <w:tc>
          <w:tcPr>
            <w:tcW w:w="1778"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R$ 672.284,67</w:t>
            </w:r>
          </w:p>
        </w:tc>
        <w:tc>
          <w:tcPr>
            <w:tcW w:w="2707"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R$ 2.499.212.313,00</w:t>
            </w:r>
          </w:p>
        </w:tc>
        <w:tc>
          <w:tcPr>
            <w:tcW w:w="1326"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0,03</w:t>
            </w:r>
          </w:p>
        </w:tc>
      </w:tr>
      <w:tr w:rsidR="00AF3B34" w:rsidTr="00AF3B34">
        <w:trPr>
          <w:trHeight w:val="300"/>
        </w:trPr>
        <w:tc>
          <w:tcPr>
            <w:tcW w:w="7918" w:type="dxa"/>
            <w:gridSpan w:val="5"/>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Fonte: Banco de dados da Fundação Agência das Bacias PCJ e Fundação Seade.</w:t>
            </w:r>
          </w:p>
        </w:tc>
        <w:tc>
          <w:tcPr>
            <w:tcW w:w="1778" w:type="dxa"/>
            <w:noWrap/>
            <w:vAlign w:val="bottom"/>
            <w:hideMark/>
          </w:tcPr>
          <w:p w:rsidR="00AF3B34" w:rsidRDefault="00AF3B34">
            <w:pPr>
              <w:spacing w:after="0"/>
              <w:jc w:val="both"/>
              <w:rPr>
                <w:rFonts w:cs="Times New Roman"/>
              </w:rPr>
            </w:pPr>
          </w:p>
        </w:tc>
        <w:tc>
          <w:tcPr>
            <w:tcW w:w="2707" w:type="dxa"/>
            <w:noWrap/>
            <w:vAlign w:val="bottom"/>
            <w:hideMark/>
          </w:tcPr>
          <w:p w:rsidR="00AF3B34" w:rsidRDefault="00AF3B34">
            <w:pPr>
              <w:spacing w:after="0"/>
              <w:jc w:val="both"/>
              <w:rPr>
                <w:rFonts w:cs="Times New Roman"/>
              </w:rPr>
            </w:pPr>
          </w:p>
        </w:tc>
        <w:tc>
          <w:tcPr>
            <w:tcW w:w="1326" w:type="dxa"/>
            <w:noWrap/>
            <w:vAlign w:val="bottom"/>
            <w:hideMark/>
          </w:tcPr>
          <w:p w:rsidR="00AF3B34" w:rsidRDefault="00AF3B34">
            <w:pPr>
              <w:spacing w:after="0"/>
              <w:jc w:val="both"/>
              <w:rPr>
                <w:rFonts w:cs="Times New Roman"/>
              </w:rPr>
            </w:pPr>
          </w:p>
        </w:tc>
      </w:tr>
    </w:tbl>
    <w:p w:rsidR="00AF3B34" w:rsidRDefault="00AF3B34" w:rsidP="00AF3B34">
      <w:pPr>
        <w:tabs>
          <w:tab w:val="left" w:pos="7010"/>
          <w:tab w:val="left" w:pos="8842"/>
        </w:tabs>
        <w:rPr>
          <w:rFonts w:ascii="Times New Roman" w:hAnsi="Times New Roman"/>
          <w:sz w:val="24"/>
          <w:szCs w:val="24"/>
        </w:rPr>
      </w:pPr>
    </w:p>
    <w:tbl>
      <w:tblPr>
        <w:tblW w:w="14119" w:type="dxa"/>
        <w:tblCellMar>
          <w:left w:w="70" w:type="dxa"/>
          <w:right w:w="70" w:type="dxa"/>
        </w:tblCellMar>
        <w:tblLook w:val="04A0"/>
      </w:tblPr>
      <w:tblGrid>
        <w:gridCol w:w="1214"/>
        <w:gridCol w:w="1654"/>
        <w:gridCol w:w="1709"/>
        <w:gridCol w:w="1654"/>
        <w:gridCol w:w="1316"/>
        <w:gridCol w:w="2120"/>
        <w:gridCol w:w="3019"/>
        <w:gridCol w:w="1433"/>
      </w:tblGrid>
      <w:tr w:rsidR="00AF3B34" w:rsidTr="00AF3B34">
        <w:trPr>
          <w:trHeight w:val="315"/>
        </w:trPr>
        <w:tc>
          <w:tcPr>
            <w:tcW w:w="12686" w:type="dxa"/>
            <w:gridSpan w:val="7"/>
            <w:noWrap/>
            <w:vAlign w:val="bottom"/>
            <w:hideMark/>
          </w:tcPr>
          <w:p w:rsidR="00AF3B34" w:rsidRDefault="00AF3B34">
            <w:pPr>
              <w:spacing w:after="120"/>
              <w:jc w:val="both"/>
              <w:rPr>
                <w:rFonts w:ascii="Times New Roman" w:hAnsi="Times New Roman"/>
                <w:b/>
                <w:sz w:val="24"/>
                <w:szCs w:val="24"/>
              </w:rPr>
            </w:pPr>
            <w:r>
              <w:rPr>
                <w:rFonts w:ascii="Times New Roman" w:hAnsi="Times New Roman"/>
                <w:b/>
                <w:sz w:val="24"/>
                <w:szCs w:val="24"/>
              </w:rPr>
              <w:t>Representatividade das cobranças PCJ no valor adicional fiscal da indústria de combustíveis - valores em R$ 2013</w:t>
            </w:r>
          </w:p>
        </w:tc>
        <w:tc>
          <w:tcPr>
            <w:tcW w:w="1433" w:type="dxa"/>
            <w:noWrap/>
            <w:vAlign w:val="bottom"/>
            <w:hideMark/>
          </w:tcPr>
          <w:p w:rsidR="00AF3B34" w:rsidRDefault="00AF3B34">
            <w:pPr>
              <w:spacing w:after="0"/>
              <w:jc w:val="both"/>
              <w:rPr>
                <w:rFonts w:cs="Times New Roman"/>
              </w:rPr>
            </w:pPr>
          </w:p>
        </w:tc>
      </w:tr>
      <w:tr w:rsidR="00AF3B34" w:rsidTr="00AF3B34">
        <w:trPr>
          <w:trHeight w:val="315"/>
        </w:trPr>
        <w:tc>
          <w:tcPr>
            <w:tcW w:w="1214" w:type="dxa"/>
            <w:vMerge w:val="restart"/>
            <w:tcBorders>
              <w:top w:val="single" w:sz="8" w:space="0" w:color="auto"/>
              <w:left w:val="nil"/>
              <w:bottom w:val="single" w:sz="8" w:space="0" w:color="000000"/>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Local</w:t>
            </w:r>
          </w:p>
        </w:tc>
        <w:tc>
          <w:tcPr>
            <w:tcW w:w="3363"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Cobrança estadual</w:t>
            </w:r>
          </w:p>
        </w:tc>
        <w:tc>
          <w:tcPr>
            <w:tcW w:w="2970"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Cobrança federal</w:t>
            </w:r>
          </w:p>
        </w:tc>
        <w:tc>
          <w:tcPr>
            <w:tcW w:w="2120" w:type="dxa"/>
            <w:vMerge w:val="restart"/>
            <w:tcBorders>
              <w:top w:val="single" w:sz="8" w:space="0" w:color="auto"/>
              <w:left w:val="nil"/>
              <w:bottom w:val="single" w:sz="8" w:space="0" w:color="000000"/>
              <w:right w:val="nil"/>
            </w:tcBorders>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Total Cobranças PCJ</w:t>
            </w:r>
          </w:p>
        </w:tc>
        <w:tc>
          <w:tcPr>
            <w:tcW w:w="3019" w:type="dxa"/>
            <w:vMerge w:val="restart"/>
            <w:tcBorders>
              <w:top w:val="single" w:sz="8" w:space="0" w:color="auto"/>
              <w:left w:val="nil"/>
              <w:bottom w:val="single" w:sz="8" w:space="0" w:color="000000"/>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VAF Setor Município</w:t>
            </w:r>
            <w:r>
              <w:rPr>
                <w:rFonts w:ascii="Times New Roman" w:eastAsia="Times New Roman" w:hAnsi="Times New Roman"/>
                <w:b/>
                <w:bCs/>
                <w:color w:val="000000"/>
                <w:sz w:val="24"/>
                <w:szCs w:val="24"/>
                <w:vertAlign w:val="superscript"/>
                <w:lang w:eastAsia="pt-BR"/>
              </w:rPr>
              <w:t>1</w:t>
            </w:r>
          </w:p>
        </w:tc>
        <w:tc>
          <w:tcPr>
            <w:tcW w:w="1433" w:type="dxa"/>
            <w:vMerge w:val="restart"/>
            <w:tcBorders>
              <w:top w:val="single" w:sz="8" w:space="0" w:color="auto"/>
              <w:left w:val="nil"/>
              <w:bottom w:val="single" w:sz="8" w:space="0" w:color="000000"/>
              <w:right w:val="nil"/>
            </w:tcBorders>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 Participação</w:t>
            </w:r>
          </w:p>
        </w:tc>
      </w:tr>
      <w:tr w:rsidR="00AF3B34" w:rsidTr="00AF3B34">
        <w:trPr>
          <w:trHeight w:val="315"/>
        </w:trPr>
        <w:tc>
          <w:tcPr>
            <w:tcW w:w="0" w:type="auto"/>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sz w:val="24"/>
                <w:szCs w:val="24"/>
                <w:lang w:eastAsia="pt-BR"/>
              </w:rPr>
            </w:pPr>
          </w:p>
        </w:tc>
        <w:tc>
          <w:tcPr>
            <w:tcW w:w="1654" w:type="dxa"/>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Qtd. Usuários</w:t>
            </w:r>
          </w:p>
        </w:tc>
        <w:tc>
          <w:tcPr>
            <w:tcW w:w="1709" w:type="dxa"/>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Valor pago</w:t>
            </w:r>
          </w:p>
        </w:tc>
        <w:tc>
          <w:tcPr>
            <w:tcW w:w="1654" w:type="dxa"/>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Qtd. Usuários</w:t>
            </w:r>
          </w:p>
        </w:tc>
        <w:tc>
          <w:tcPr>
            <w:tcW w:w="1316" w:type="dxa"/>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Valor pago</w:t>
            </w:r>
          </w:p>
        </w:tc>
        <w:tc>
          <w:tcPr>
            <w:tcW w:w="0" w:type="auto"/>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sz w:val="24"/>
                <w:szCs w:val="24"/>
                <w:lang w:eastAsia="pt-BR"/>
              </w:rPr>
            </w:pPr>
          </w:p>
        </w:tc>
        <w:tc>
          <w:tcPr>
            <w:tcW w:w="0" w:type="auto"/>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sz w:val="24"/>
                <w:szCs w:val="24"/>
                <w:lang w:eastAsia="pt-BR"/>
              </w:rPr>
            </w:pPr>
          </w:p>
        </w:tc>
        <w:tc>
          <w:tcPr>
            <w:tcW w:w="0" w:type="auto"/>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sz w:val="24"/>
                <w:szCs w:val="24"/>
                <w:lang w:eastAsia="pt-BR"/>
              </w:rPr>
            </w:pPr>
          </w:p>
        </w:tc>
      </w:tr>
      <w:tr w:rsidR="00AF3B34" w:rsidTr="00AF3B34">
        <w:trPr>
          <w:trHeight w:val="300"/>
        </w:trPr>
        <w:tc>
          <w:tcPr>
            <w:tcW w:w="1214" w:type="dxa"/>
            <w:noWrap/>
            <w:vAlign w:val="bottom"/>
            <w:hideMark/>
          </w:tcPr>
          <w:p w:rsidR="00AF3B34" w:rsidRDefault="00AF3B34">
            <w:pPr>
              <w:spacing w:after="120"/>
              <w:jc w:val="both"/>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Capivari</w:t>
            </w:r>
          </w:p>
        </w:tc>
        <w:tc>
          <w:tcPr>
            <w:tcW w:w="1654"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1</w:t>
            </w:r>
          </w:p>
        </w:tc>
        <w:tc>
          <w:tcPr>
            <w:tcW w:w="1709" w:type="dxa"/>
            <w:noWrap/>
            <w:vAlign w:val="bottom"/>
            <w:hideMark/>
          </w:tcPr>
          <w:p w:rsidR="00AF3B34" w:rsidRDefault="00AF3B34">
            <w:pPr>
              <w:spacing w:after="120"/>
              <w:jc w:val="right"/>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R$ 39.947,61</w:t>
            </w:r>
          </w:p>
        </w:tc>
        <w:tc>
          <w:tcPr>
            <w:tcW w:w="1654"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0</w:t>
            </w:r>
          </w:p>
        </w:tc>
        <w:tc>
          <w:tcPr>
            <w:tcW w:w="1316"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R$ 0,00</w:t>
            </w:r>
          </w:p>
        </w:tc>
        <w:tc>
          <w:tcPr>
            <w:tcW w:w="2120"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R$ 39.947,61</w:t>
            </w:r>
          </w:p>
        </w:tc>
        <w:tc>
          <w:tcPr>
            <w:tcW w:w="3019"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R$ 1.414.612,00</w:t>
            </w:r>
          </w:p>
        </w:tc>
        <w:tc>
          <w:tcPr>
            <w:tcW w:w="1433"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2,82</w:t>
            </w:r>
          </w:p>
        </w:tc>
      </w:tr>
      <w:tr w:rsidR="00AF3B34" w:rsidTr="00AF3B34">
        <w:trPr>
          <w:trHeight w:val="300"/>
        </w:trPr>
        <w:tc>
          <w:tcPr>
            <w:tcW w:w="1214" w:type="dxa"/>
            <w:noWrap/>
            <w:vAlign w:val="bottom"/>
            <w:hideMark/>
          </w:tcPr>
          <w:p w:rsidR="00AF3B34" w:rsidRDefault="00AF3B34">
            <w:pPr>
              <w:spacing w:after="120"/>
              <w:jc w:val="both"/>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Limeira</w:t>
            </w:r>
          </w:p>
        </w:tc>
        <w:tc>
          <w:tcPr>
            <w:tcW w:w="1654"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1</w:t>
            </w:r>
          </w:p>
        </w:tc>
        <w:tc>
          <w:tcPr>
            <w:tcW w:w="1709"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R$ 11.382,54</w:t>
            </w:r>
          </w:p>
        </w:tc>
        <w:tc>
          <w:tcPr>
            <w:tcW w:w="1654"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0</w:t>
            </w:r>
          </w:p>
        </w:tc>
        <w:tc>
          <w:tcPr>
            <w:tcW w:w="1316"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R$ 0,00</w:t>
            </w:r>
          </w:p>
        </w:tc>
        <w:tc>
          <w:tcPr>
            <w:tcW w:w="2120"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R$ 11.382,54</w:t>
            </w:r>
          </w:p>
        </w:tc>
        <w:tc>
          <w:tcPr>
            <w:tcW w:w="3019"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R$ 4.038.048,00</w:t>
            </w:r>
          </w:p>
        </w:tc>
        <w:tc>
          <w:tcPr>
            <w:tcW w:w="1433"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0,28</w:t>
            </w:r>
          </w:p>
        </w:tc>
      </w:tr>
      <w:tr w:rsidR="00AF3B34" w:rsidTr="00AF3B34">
        <w:trPr>
          <w:trHeight w:val="315"/>
        </w:trPr>
        <w:tc>
          <w:tcPr>
            <w:tcW w:w="1214" w:type="dxa"/>
            <w:noWrap/>
            <w:vAlign w:val="bottom"/>
            <w:hideMark/>
          </w:tcPr>
          <w:p w:rsidR="00AF3B34" w:rsidRDefault="00AF3B34">
            <w:pPr>
              <w:spacing w:after="120"/>
              <w:jc w:val="both"/>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Piracicaba</w:t>
            </w:r>
          </w:p>
        </w:tc>
        <w:tc>
          <w:tcPr>
            <w:tcW w:w="1654"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1</w:t>
            </w:r>
          </w:p>
        </w:tc>
        <w:tc>
          <w:tcPr>
            <w:tcW w:w="1709"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R$ 93.799,86</w:t>
            </w:r>
          </w:p>
        </w:tc>
        <w:tc>
          <w:tcPr>
            <w:tcW w:w="1654"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0</w:t>
            </w:r>
          </w:p>
        </w:tc>
        <w:tc>
          <w:tcPr>
            <w:tcW w:w="1316"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R$ 0,00</w:t>
            </w:r>
          </w:p>
        </w:tc>
        <w:tc>
          <w:tcPr>
            <w:tcW w:w="2120"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R$ 93.799,86</w:t>
            </w:r>
          </w:p>
        </w:tc>
        <w:tc>
          <w:tcPr>
            <w:tcW w:w="3019"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R$ 38.645.816,00</w:t>
            </w:r>
          </w:p>
        </w:tc>
        <w:tc>
          <w:tcPr>
            <w:tcW w:w="1433" w:type="dxa"/>
            <w:noWrap/>
            <w:vAlign w:val="center"/>
            <w:hideMark/>
          </w:tcPr>
          <w:p w:rsidR="00AF3B34" w:rsidRDefault="00AF3B34">
            <w:pPr>
              <w:spacing w:after="120"/>
              <w:jc w:val="center"/>
              <w:rPr>
                <w:rFonts w:ascii="Times New Roman" w:eastAsia="Times New Roman" w:hAnsi="Times New Roman"/>
                <w:color w:val="000000"/>
                <w:sz w:val="24"/>
                <w:szCs w:val="24"/>
                <w:lang w:eastAsia="pt-BR"/>
              </w:rPr>
            </w:pPr>
            <w:r>
              <w:rPr>
                <w:rFonts w:ascii="Times New Roman" w:eastAsia="Times New Roman" w:hAnsi="Times New Roman"/>
                <w:color w:val="000000"/>
                <w:sz w:val="24"/>
                <w:szCs w:val="24"/>
                <w:lang w:eastAsia="pt-BR"/>
              </w:rPr>
              <w:t>0,24</w:t>
            </w:r>
          </w:p>
        </w:tc>
      </w:tr>
      <w:tr w:rsidR="00AF3B34" w:rsidTr="00AF3B34">
        <w:trPr>
          <w:trHeight w:val="315"/>
        </w:trPr>
        <w:tc>
          <w:tcPr>
            <w:tcW w:w="1214" w:type="dxa"/>
            <w:tcBorders>
              <w:top w:val="single" w:sz="8" w:space="0" w:color="auto"/>
              <w:left w:val="nil"/>
              <w:bottom w:val="single" w:sz="8" w:space="0" w:color="auto"/>
              <w:right w:val="nil"/>
            </w:tcBorders>
            <w:noWrap/>
            <w:vAlign w:val="bottom"/>
            <w:hideMark/>
          </w:tcPr>
          <w:p w:rsidR="00AF3B34" w:rsidRDefault="00AF3B34">
            <w:pPr>
              <w:spacing w:after="120"/>
              <w:jc w:val="both"/>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Total</w:t>
            </w:r>
          </w:p>
        </w:tc>
        <w:tc>
          <w:tcPr>
            <w:tcW w:w="1654"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w:t>
            </w:r>
          </w:p>
        </w:tc>
        <w:tc>
          <w:tcPr>
            <w:tcW w:w="1709"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R$ 145.130,01</w:t>
            </w:r>
          </w:p>
        </w:tc>
        <w:tc>
          <w:tcPr>
            <w:tcW w:w="1654"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0</w:t>
            </w:r>
          </w:p>
        </w:tc>
        <w:tc>
          <w:tcPr>
            <w:tcW w:w="1316"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R$ 0,00</w:t>
            </w:r>
          </w:p>
        </w:tc>
        <w:tc>
          <w:tcPr>
            <w:tcW w:w="2120"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R$ 145.130,01</w:t>
            </w:r>
          </w:p>
        </w:tc>
        <w:tc>
          <w:tcPr>
            <w:tcW w:w="3019"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R$ 44.098.476,00</w:t>
            </w:r>
          </w:p>
        </w:tc>
        <w:tc>
          <w:tcPr>
            <w:tcW w:w="1433"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0,33</w:t>
            </w:r>
          </w:p>
        </w:tc>
      </w:tr>
      <w:tr w:rsidR="00AF3B34" w:rsidTr="00AF3B34">
        <w:trPr>
          <w:trHeight w:val="300"/>
        </w:trPr>
        <w:tc>
          <w:tcPr>
            <w:tcW w:w="7547" w:type="dxa"/>
            <w:gridSpan w:val="5"/>
            <w:noWrap/>
            <w:vAlign w:val="bottom"/>
            <w:hideMark/>
          </w:tcPr>
          <w:p w:rsidR="00AF3B34" w:rsidRDefault="00AF3B34">
            <w:pPr>
              <w:spacing w:after="120"/>
              <w:jc w:val="both"/>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Fonte: Banco de dados da Fundação Agência das Bacias PCJ e Fundação Seade.</w:t>
            </w:r>
          </w:p>
        </w:tc>
        <w:tc>
          <w:tcPr>
            <w:tcW w:w="2120" w:type="dxa"/>
            <w:noWrap/>
            <w:vAlign w:val="bottom"/>
            <w:hideMark/>
          </w:tcPr>
          <w:p w:rsidR="00AF3B34" w:rsidRDefault="00AF3B34">
            <w:pPr>
              <w:spacing w:after="0"/>
              <w:jc w:val="both"/>
              <w:rPr>
                <w:rFonts w:cs="Times New Roman"/>
              </w:rPr>
            </w:pPr>
          </w:p>
        </w:tc>
        <w:tc>
          <w:tcPr>
            <w:tcW w:w="3019" w:type="dxa"/>
            <w:noWrap/>
            <w:vAlign w:val="bottom"/>
            <w:hideMark/>
          </w:tcPr>
          <w:p w:rsidR="00AF3B34" w:rsidRDefault="00AF3B34">
            <w:pPr>
              <w:spacing w:after="0"/>
              <w:jc w:val="both"/>
              <w:rPr>
                <w:rFonts w:cs="Times New Roman"/>
              </w:rPr>
            </w:pPr>
          </w:p>
        </w:tc>
        <w:tc>
          <w:tcPr>
            <w:tcW w:w="1433" w:type="dxa"/>
            <w:noWrap/>
            <w:vAlign w:val="bottom"/>
            <w:hideMark/>
          </w:tcPr>
          <w:p w:rsidR="00AF3B34" w:rsidRDefault="00AF3B34">
            <w:pPr>
              <w:spacing w:after="0"/>
              <w:jc w:val="both"/>
              <w:rPr>
                <w:rFonts w:cs="Times New Roman"/>
              </w:rPr>
            </w:pPr>
          </w:p>
        </w:tc>
      </w:tr>
      <w:tr w:rsidR="00AF3B34" w:rsidTr="00AF3B34">
        <w:trPr>
          <w:trHeight w:val="345"/>
        </w:trPr>
        <w:tc>
          <w:tcPr>
            <w:tcW w:w="6231" w:type="dxa"/>
            <w:gridSpan w:val="4"/>
            <w:noWrap/>
            <w:vAlign w:val="bottom"/>
            <w:hideMark/>
          </w:tcPr>
          <w:p w:rsidR="00AF3B34" w:rsidRDefault="00AF3B34">
            <w:pPr>
              <w:spacing w:after="120"/>
              <w:jc w:val="both"/>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vertAlign w:val="superscript"/>
                <w:lang w:eastAsia="pt-BR"/>
              </w:rPr>
              <w:t>1</w:t>
            </w:r>
            <w:r>
              <w:rPr>
                <w:rFonts w:ascii="Times New Roman" w:eastAsia="Times New Roman" w:hAnsi="Times New Roman"/>
                <w:color w:val="000000"/>
                <w:sz w:val="20"/>
                <w:szCs w:val="20"/>
                <w:lang w:eastAsia="pt-BR"/>
              </w:rPr>
              <w:t xml:space="preserve"> Informações Capivari (2009), Limeira (2010) e Piracicaba (2011)</w:t>
            </w:r>
          </w:p>
        </w:tc>
        <w:tc>
          <w:tcPr>
            <w:tcW w:w="1316" w:type="dxa"/>
            <w:noWrap/>
            <w:vAlign w:val="bottom"/>
            <w:hideMark/>
          </w:tcPr>
          <w:p w:rsidR="00AF3B34" w:rsidRDefault="00AF3B34">
            <w:pPr>
              <w:spacing w:after="0"/>
              <w:jc w:val="both"/>
              <w:rPr>
                <w:rFonts w:cs="Times New Roman"/>
              </w:rPr>
            </w:pPr>
          </w:p>
        </w:tc>
        <w:tc>
          <w:tcPr>
            <w:tcW w:w="2120" w:type="dxa"/>
            <w:noWrap/>
            <w:vAlign w:val="bottom"/>
            <w:hideMark/>
          </w:tcPr>
          <w:p w:rsidR="00AF3B34" w:rsidRDefault="00AF3B34">
            <w:pPr>
              <w:spacing w:after="0"/>
              <w:jc w:val="both"/>
              <w:rPr>
                <w:rFonts w:cs="Times New Roman"/>
              </w:rPr>
            </w:pPr>
          </w:p>
        </w:tc>
        <w:tc>
          <w:tcPr>
            <w:tcW w:w="3019" w:type="dxa"/>
            <w:noWrap/>
            <w:vAlign w:val="bottom"/>
            <w:hideMark/>
          </w:tcPr>
          <w:p w:rsidR="00AF3B34" w:rsidRDefault="00AF3B34">
            <w:pPr>
              <w:spacing w:after="0"/>
              <w:jc w:val="both"/>
              <w:rPr>
                <w:rFonts w:cs="Times New Roman"/>
              </w:rPr>
            </w:pPr>
          </w:p>
        </w:tc>
        <w:tc>
          <w:tcPr>
            <w:tcW w:w="1433" w:type="dxa"/>
            <w:noWrap/>
            <w:vAlign w:val="bottom"/>
            <w:hideMark/>
          </w:tcPr>
          <w:p w:rsidR="00AF3B34" w:rsidRDefault="00AF3B34">
            <w:pPr>
              <w:spacing w:after="0"/>
              <w:jc w:val="both"/>
              <w:rPr>
                <w:rFonts w:cs="Times New Roman"/>
              </w:rPr>
            </w:pPr>
          </w:p>
        </w:tc>
      </w:tr>
    </w:tbl>
    <w:p w:rsidR="00AF3B34" w:rsidRDefault="00AF3B34" w:rsidP="00AF3B34">
      <w:pPr>
        <w:tabs>
          <w:tab w:val="left" w:pos="7010"/>
          <w:tab w:val="left" w:pos="8842"/>
        </w:tabs>
        <w:rPr>
          <w:rFonts w:ascii="Times New Roman" w:hAnsi="Times New Roman"/>
          <w:sz w:val="20"/>
          <w:szCs w:val="20"/>
        </w:rPr>
      </w:pPr>
    </w:p>
    <w:tbl>
      <w:tblPr>
        <w:tblW w:w="13266" w:type="dxa"/>
        <w:tblCellMar>
          <w:left w:w="70" w:type="dxa"/>
          <w:right w:w="70" w:type="dxa"/>
        </w:tblCellMar>
        <w:tblLook w:val="04A0"/>
      </w:tblPr>
      <w:tblGrid>
        <w:gridCol w:w="974"/>
        <w:gridCol w:w="299"/>
        <w:gridCol w:w="1393"/>
        <w:gridCol w:w="253"/>
        <w:gridCol w:w="1022"/>
        <w:gridCol w:w="492"/>
        <w:gridCol w:w="1111"/>
        <w:gridCol w:w="488"/>
        <w:gridCol w:w="1381"/>
        <w:gridCol w:w="272"/>
        <w:gridCol w:w="1888"/>
        <w:gridCol w:w="161"/>
        <w:gridCol w:w="2143"/>
        <w:gridCol w:w="57"/>
        <w:gridCol w:w="1275"/>
        <w:gridCol w:w="57"/>
      </w:tblGrid>
      <w:tr w:rsidR="00AF3B34" w:rsidTr="00AF3B34">
        <w:trPr>
          <w:gridAfter w:val="1"/>
          <w:wAfter w:w="57" w:type="dxa"/>
          <w:trHeight w:val="275"/>
        </w:trPr>
        <w:tc>
          <w:tcPr>
            <w:tcW w:w="11877" w:type="dxa"/>
            <w:gridSpan w:val="13"/>
            <w:noWrap/>
            <w:vAlign w:val="bottom"/>
            <w:hideMark/>
          </w:tcPr>
          <w:p w:rsidR="00AF3B34" w:rsidRDefault="00AF3B34">
            <w:pPr>
              <w:spacing w:after="120"/>
              <w:jc w:val="both"/>
              <w:rPr>
                <w:rFonts w:ascii="Times New Roman" w:eastAsia="Times New Roman" w:hAnsi="Times New Roman"/>
                <w:b/>
                <w:color w:val="000000"/>
                <w:sz w:val="24"/>
                <w:szCs w:val="24"/>
                <w:lang w:eastAsia="pt-BR"/>
              </w:rPr>
            </w:pPr>
            <w:r>
              <w:rPr>
                <w:rFonts w:ascii="Times New Roman" w:eastAsia="Times New Roman" w:hAnsi="Times New Roman"/>
                <w:b/>
                <w:color w:val="000000"/>
                <w:sz w:val="24"/>
                <w:szCs w:val="24"/>
                <w:lang w:eastAsia="pt-BR"/>
              </w:rPr>
              <w:t>Representatividade das cobranças PCJ no valor adicional fiscal da indústria têxtil - valores em R$ 2013</w:t>
            </w:r>
          </w:p>
        </w:tc>
        <w:tc>
          <w:tcPr>
            <w:tcW w:w="1332" w:type="dxa"/>
            <w:gridSpan w:val="2"/>
            <w:noWrap/>
            <w:vAlign w:val="bottom"/>
            <w:hideMark/>
          </w:tcPr>
          <w:p w:rsidR="00AF3B34" w:rsidRDefault="00AF3B34">
            <w:pPr>
              <w:spacing w:after="0"/>
              <w:jc w:val="both"/>
              <w:rPr>
                <w:rFonts w:cs="Times New Roman"/>
              </w:rPr>
            </w:pPr>
          </w:p>
        </w:tc>
      </w:tr>
      <w:tr w:rsidR="00AF3B34" w:rsidTr="00AF3B34">
        <w:trPr>
          <w:gridAfter w:val="1"/>
          <w:wAfter w:w="57" w:type="dxa"/>
          <w:trHeight w:val="275"/>
        </w:trPr>
        <w:tc>
          <w:tcPr>
            <w:tcW w:w="1273" w:type="dxa"/>
            <w:gridSpan w:val="2"/>
            <w:vMerge w:val="restart"/>
            <w:tcBorders>
              <w:top w:val="single" w:sz="8"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Local</w:t>
            </w:r>
          </w:p>
        </w:tc>
        <w:tc>
          <w:tcPr>
            <w:tcW w:w="3160" w:type="dxa"/>
            <w:gridSpan w:val="4"/>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Cobrança estadual</w:t>
            </w:r>
          </w:p>
        </w:tc>
        <w:tc>
          <w:tcPr>
            <w:tcW w:w="3252" w:type="dxa"/>
            <w:gridSpan w:val="4"/>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Cobrança federal</w:t>
            </w:r>
          </w:p>
        </w:tc>
        <w:tc>
          <w:tcPr>
            <w:tcW w:w="2049" w:type="dxa"/>
            <w:gridSpan w:val="2"/>
            <w:vMerge w:val="restart"/>
            <w:tcBorders>
              <w:top w:val="single" w:sz="8" w:space="0" w:color="auto"/>
              <w:left w:val="nil"/>
              <w:bottom w:val="single" w:sz="8" w:space="0" w:color="000000"/>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 Cobranças PCJ</w:t>
            </w:r>
          </w:p>
        </w:tc>
        <w:tc>
          <w:tcPr>
            <w:tcW w:w="2143" w:type="dxa"/>
            <w:vMerge w:val="restart"/>
            <w:tcBorders>
              <w:top w:val="single" w:sz="8" w:space="0" w:color="auto"/>
              <w:left w:val="nil"/>
              <w:bottom w:val="single" w:sz="8" w:space="0" w:color="000000"/>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VAF Setor Município</w:t>
            </w:r>
            <w:r>
              <w:rPr>
                <w:rFonts w:ascii="Times New Roman" w:eastAsia="Times New Roman" w:hAnsi="Times New Roman"/>
                <w:b/>
                <w:bCs/>
                <w:color w:val="000000"/>
                <w:vertAlign w:val="superscript"/>
                <w:lang w:eastAsia="pt-BR"/>
              </w:rPr>
              <w:t>1</w:t>
            </w:r>
          </w:p>
        </w:tc>
        <w:tc>
          <w:tcPr>
            <w:tcW w:w="1332" w:type="dxa"/>
            <w:gridSpan w:val="2"/>
            <w:vMerge w:val="restart"/>
            <w:tcBorders>
              <w:top w:val="single" w:sz="8" w:space="0" w:color="auto"/>
              <w:left w:val="nil"/>
              <w:bottom w:val="single" w:sz="8" w:space="0" w:color="000000"/>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Participação</w:t>
            </w:r>
          </w:p>
        </w:tc>
      </w:tr>
      <w:tr w:rsidR="00AF3B34" w:rsidTr="00AF3B34">
        <w:trPr>
          <w:gridAfter w:val="1"/>
          <w:wAfter w:w="58" w:type="dxa"/>
          <w:trHeight w:val="275"/>
        </w:trPr>
        <w:tc>
          <w:tcPr>
            <w:tcW w:w="0" w:type="auto"/>
            <w:gridSpan w:val="2"/>
            <w:vMerge/>
            <w:tcBorders>
              <w:top w:val="single" w:sz="8" w:space="0" w:color="auto"/>
              <w:left w:val="nil"/>
              <w:bottom w:val="single" w:sz="4" w:space="0" w:color="auto"/>
              <w:right w:val="nil"/>
            </w:tcBorders>
            <w:vAlign w:val="center"/>
            <w:hideMark/>
          </w:tcPr>
          <w:p w:rsidR="00AF3B34" w:rsidRDefault="00AF3B34">
            <w:pPr>
              <w:spacing w:after="0"/>
              <w:rPr>
                <w:rFonts w:ascii="Times New Roman" w:eastAsia="Times New Roman" w:hAnsi="Times New Roman"/>
                <w:b/>
                <w:bCs/>
                <w:color w:val="000000"/>
                <w:lang w:eastAsia="pt-BR"/>
              </w:rPr>
            </w:pPr>
          </w:p>
        </w:tc>
        <w:tc>
          <w:tcPr>
            <w:tcW w:w="1646" w:type="dxa"/>
            <w:gridSpan w:val="2"/>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Qtd. Usuários</w:t>
            </w:r>
          </w:p>
        </w:tc>
        <w:tc>
          <w:tcPr>
            <w:tcW w:w="1514" w:type="dxa"/>
            <w:gridSpan w:val="2"/>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Valor pago</w:t>
            </w:r>
          </w:p>
        </w:tc>
        <w:tc>
          <w:tcPr>
            <w:tcW w:w="1599" w:type="dxa"/>
            <w:gridSpan w:val="2"/>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Qtd. Usuários</w:t>
            </w:r>
          </w:p>
        </w:tc>
        <w:tc>
          <w:tcPr>
            <w:tcW w:w="1652" w:type="dxa"/>
            <w:gridSpan w:val="2"/>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Valor pago</w:t>
            </w:r>
          </w:p>
        </w:tc>
        <w:tc>
          <w:tcPr>
            <w:tcW w:w="0" w:type="auto"/>
            <w:gridSpan w:val="2"/>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lang w:eastAsia="pt-BR"/>
              </w:rPr>
            </w:pPr>
          </w:p>
        </w:tc>
        <w:tc>
          <w:tcPr>
            <w:tcW w:w="0" w:type="auto"/>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lang w:eastAsia="pt-BR"/>
              </w:rPr>
            </w:pPr>
          </w:p>
        </w:tc>
        <w:tc>
          <w:tcPr>
            <w:tcW w:w="0" w:type="auto"/>
            <w:gridSpan w:val="2"/>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lang w:eastAsia="pt-BR"/>
              </w:rPr>
            </w:pPr>
          </w:p>
        </w:tc>
      </w:tr>
      <w:tr w:rsidR="00AF3B34" w:rsidTr="00AF3B34">
        <w:trPr>
          <w:gridAfter w:val="1"/>
          <w:wAfter w:w="58" w:type="dxa"/>
          <w:trHeight w:val="275"/>
        </w:trPr>
        <w:tc>
          <w:tcPr>
            <w:tcW w:w="1273" w:type="dxa"/>
            <w:gridSpan w:val="2"/>
            <w:tcBorders>
              <w:top w:val="single" w:sz="4" w:space="0" w:color="auto"/>
              <w:left w:val="nil"/>
              <w:bottom w:val="nil"/>
              <w:right w:val="nil"/>
            </w:tcBorders>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Americana</w:t>
            </w:r>
          </w:p>
        </w:tc>
        <w:tc>
          <w:tcPr>
            <w:tcW w:w="1646"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w:t>
            </w:r>
          </w:p>
        </w:tc>
        <w:tc>
          <w:tcPr>
            <w:tcW w:w="1514" w:type="dxa"/>
            <w:gridSpan w:val="2"/>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R$ 21.089,49</w:t>
            </w:r>
          </w:p>
        </w:tc>
        <w:tc>
          <w:tcPr>
            <w:tcW w:w="1599"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w:t>
            </w:r>
          </w:p>
        </w:tc>
        <w:tc>
          <w:tcPr>
            <w:tcW w:w="1652"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R$ 314.559,03</w:t>
            </w:r>
          </w:p>
        </w:tc>
        <w:tc>
          <w:tcPr>
            <w:tcW w:w="2049"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R$ 335.648,52</w:t>
            </w:r>
          </w:p>
        </w:tc>
        <w:tc>
          <w:tcPr>
            <w:tcW w:w="2143" w:type="dxa"/>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R$ 906.970.738,00</w:t>
            </w:r>
          </w:p>
        </w:tc>
        <w:tc>
          <w:tcPr>
            <w:tcW w:w="1332"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0,04</w:t>
            </w:r>
          </w:p>
        </w:tc>
      </w:tr>
      <w:tr w:rsidR="00AF3B34" w:rsidTr="00AF3B34">
        <w:trPr>
          <w:gridAfter w:val="1"/>
          <w:wAfter w:w="58" w:type="dxa"/>
          <w:trHeight w:val="275"/>
        </w:trPr>
        <w:tc>
          <w:tcPr>
            <w:tcW w:w="1273" w:type="dxa"/>
            <w:gridSpan w:val="2"/>
            <w:tcBorders>
              <w:top w:val="single" w:sz="8" w:space="0" w:color="auto"/>
              <w:left w:val="nil"/>
              <w:bottom w:val="single" w:sz="8" w:space="0" w:color="auto"/>
              <w:right w:val="nil"/>
            </w:tcBorders>
            <w:noWrap/>
            <w:vAlign w:val="bottom"/>
            <w:hideMark/>
          </w:tcPr>
          <w:p w:rsidR="00AF3B34" w:rsidRDefault="00AF3B34">
            <w:pPr>
              <w:spacing w:after="120"/>
              <w:jc w:val="both"/>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w:t>
            </w:r>
          </w:p>
        </w:tc>
        <w:tc>
          <w:tcPr>
            <w:tcW w:w="1646"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4</w:t>
            </w:r>
          </w:p>
        </w:tc>
        <w:tc>
          <w:tcPr>
            <w:tcW w:w="1514"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R$ 21.089,49</w:t>
            </w:r>
          </w:p>
        </w:tc>
        <w:tc>
          <w:tcPr>
            <w:tcW w:w="1599"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4</w:t>
            </w:r>
          </w:p>
        </w:tc>
        <w:tc>
          <w:tcPr>
            <w:tcW w:w="1652"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R$ 314.559,03</w:t>
            </w:r>
          </w:p>
        </w:tc>
        <w:tc>
          <w:tcPr>
            <w:tcW w:w="2049"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R$ 335.648,52</w:t>
            </w:r>
          </w:p>
        </w:tc>
        <w:tc>
          <w:tcPr>
            <w:tcW w:w="2143" w:type="dxa"/>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R$ 906.970.738,00</w:t>
            </w:r>
          </w:p>
        </w:tc>
        <w:tc>
          <w:tcPr>
            <w:tcW w:w="1332"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0,04</w:t>
            </w:r>
          </w:p>
        </w:tc>
      </w:tr>
      <w:tr w:rsidR="00AF3B34" w:rsidTr="00AF3B34">
        <w:trPr>
          <w:gridAfter w:val="1"/>
          <w:wAfter w:w="57" w:type="dxa"/>
          <w:trHeight w:val="262"/>
        </w:trPr>
        <w:tc>
          <w:tcPr>
            <w:tcW w:w="7685" w:type="dxa"/>
            <w:gridSpan w:val="10"/>
            <w:noWrap/>
            <w:vAlign w:val="bottom"/>
            <w:hideMark/>
          </w:tcPr>
          <w:p w:rsidR="00AF3B34" w:rsidRDefault="00AF3B34">
            <w:pPr>
              <w:spacing w:after="120"/>
              <w:jc w:val="both"/>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Fonte: Banco de dados da Fundação Agência das Bacias PCJ e Fundação Seade.</w:t>
            </w:r>
          </w:p>
        </w:tc>
        <w:tc>
          <w:tcPr>
            <w:tcW w:w="2049" w:type="dxa"/>
            <w:gridSpan w:val="2"/>
            <w:noWrap/>
            <w:vAlign w:val="bottom"/>
            <w:hideMark/>
          </w:tcPr>
          <w:p w:rsidR="00AF3B34" w:rsidRDefault="00AF3B34">
            <w:pPr>
              <w:spacing w:after="0"/>
              <w:jc w:val="both"/>
              <w:rPr>
                <w:rFonts w:cs="Times New Roman"/>
              </w:rPr>
            </w:pPr>
          </w:p>
        </w:tc>
        <w:tc>
          <w:tcPr>
            <w:tcW w:w="2143" w:type="dxa"/>
            <w:noWrap/>
            <w:vAlign w:val="bottom"/>
            <w:hideMark/>
          </w:tcPr>
          <w:p w:rsidR="00AF3B34" w:rsidRDefault="00AF3B34">
            <w:pPr>
              <w:spacing w:after="0"/>
              <w:jc w:val="both"/>
              <w:rPr>
                <w:rFonts w:cs="Times New Roman"/>
              </w:rPr>
            </w:pPr>
          </w:p>
        </w:tc>
        <w:tc>
          <w:tcPr>
            <w:tcW w:w="1332" w:type="dxa"/>
            <w:gridSpan w:val="2"/>
            <w:noWrap/>
            <w:vAlign w:val="bottom"/>
            <w:hideMark/>
          </w:tcPr>
          <w:p w:rsidR="00AF3B34" w:rsidRDefault="00AF3B34">
            <w:pPr>
              <w:spacing w:after="0"/>
              <w:jc w:val="both"/>
              <w:rPr>
                <w:rFonts w:cs="Times New Roman"/>
              </w:rPr>
            </w:pPr>
          </w:p>
        </w:tc>
      </w:tr>
      <w:tr w:rsidR="00AF3B34" w:rsidTr="00AF3B34">
        <w:trPr>
          <w:gridAfter w:val="1"/>
          <w:wAfter w:w="58" w:type="dxa"/>
          <w:trHeight w:val="302"/>
        </w:trPr>
        <w:tc>
          <w:tcPr>
            <w:tcW w:w="2919" w:type="dxa"/>
            <w:gridSpan w:val="4"/>
            <w:noWrap/>
            <w:vAlign w:val="bottom"/>
            <w:hideMark/>
          </w:tcPr>
          <w:p w:rsidR="00AF3B34" w:rsidRDefault="00AF3B34">
            <w:pPr>
              <w:spacing w:after="120"/>
              <w:ind w:right="-283"/>
              <w:jc w:val="both"/>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vertAlign w:val="superscript"/>
                <w:lang w:eastAsia="pt-BR"/>
              </w:rPr>
              <w:t>1</w:t>
            </w:r>
            <w:r>
              <w:rPr>
                <w:rFonts w:ascii="Times New Roman" w:eastAsia="Times New Roman" w:hAnsi="Times New Roman"/>
                <w:color w:val="000000"/>
                <w:sz w:val="20"/>
                <w:szCs w:val="20"/>
                <w:lang w:eastAsia="pt-BR"/>
              </w:rPr>
              <w:t>Informações ano 2011</w:t>
            </w:r>
          </w:p>
        </w:tc>
        <w:tc>
          <w:tcPr>
            <w:tcW w:w="1514" w:type="dxa"/>
            <w:gridSpan w:val="2"/>
            <w:noWrap/>
            <w:vAlign w:val="bottom"/>
            <w:hideMark/>
          </w:tcPr>
          <w:p w:rsidR="00AF3B34" w:rsidRDefault="00AF3B34">
            <w:pPr>
              <w:spacing w:after="0"/>
              <w:jc w:val="both"/>
              <w:rPr>
                <w:rFonts w:cs="Times New Roman"/>
              </w:rPr>
            </w:pPr>
          </w:p>
        </w:tc>
        <w:tc>
          <w:tcPr>
            <w:tcW w:w="1599" w:type="dxa"/>
            <w:gridSpan w:val="2"/>
            <w:noWrap/>
            <w:vAlign w:val="bottom"/>
            <w:hideMark/>
          </w:tcPr>
          <w:p w:rsidR="00AF3B34" w:rsidRDefault="00AF3B34">
            <w:pPr>
              <w:spacing w:after="0"/>
              <w:jc w:val="both"/>
              <w:rPr>
                <w:rFonts w:cs="Times New Roman"/>
              </w:rPr>
            </w:pPr>
          </w:p>
        </w:tc>
        <w:tc>
          <w:tcPr>
            <w:tcW w:w="1652" w:type="dxa"/>
            <w:gridSpan w:val="2"/>
            <w:noWrap/>
            <w:vAlign w:val="bottom"/>
            <w:hideMark/>
          </w:tcPr>
          <w:p w:rsidR="00AF3B34" w:rsidRDefault="00AF3B34">
            <w:pPr>
              <w:spacing w:after="0"/>
              <w:jc w:val="both"/>
              <w:rPr>
                <w:rFonts w:cs="Times New Roman"/>
              </w:rPr>
            </w:pPr>
          </w:p>
        </w:tc>
        <w:tc>
          <w:tcPr>
            <w:tcW w:w="2049" w:type="dxa"/>
            <w:gridSpan w:val="2"/>
            <w:noWrap/>
            <w:vAlign w:val="bottom"/>
            <w:hideMark/>
          </w:tcPr>
          <w:p w:rsidR="00AF3B34" w:rsidRDefault="00AF3B34">
            <w:pPr>
              <w:spacing w:after="0"/>
              <w:jc w:val="both"/>
              <w:rPr>
                <w:rFonts w:cs="Times New Roman"/>
              </w:rPr>
            </w:pPr>
          </w:p>
        </w:tc>
        <w:tc>
          <w:tcPr>
            <w:tcW w:w="2143" w:type="dxa"/>
            <w:noWrap/>
            <w:vAlign w:val="bottom"/>
            <w:hideMark/>
          </w:tcPr>
          <w:p w:rsidR="00AF3B34" w:rsidRDefault="00AF3B34">
            <w:pPr>
              <w:spacing w:after="0"/>
              <w:jc w:val="both"/>
              <w:rPr>
                <w:rFonts w:cs="Times New Roman"/>
              </w:rPr>
            </w:pPr>
          </w:p>
        </w:tc>
        <w:tc>
          <w:tcPr>
            <w:tcW w:w="1332" w:type="dxa"/>
            <w:gridSpan w:val="2"/>
            <w:noWrap/>
            <w:vAlign w:val="bottom"/>
            <w:hideMark/>
          </w:tcPr>
          <w:p w:rsidR="00AF3B34" w:rsidRDefault="00AF3B34">
            <w:pPr>
              <w:spacing w:after="0"/>
              <w:jc w:val="both"/>
              <w:rPr>
                <w:rFonts w:cs="Times New Roman"/>
              </w:rPr>
            </w:pPr>
          </w:p>
        </w:tc>
      </w:tr>
      <w:tr w:rsidR="00AF3B34" w:rsidTr="00AF3B34">
        <w:trPr>
          <w:trHeight w:val="275"/>
        </w:trPr>
        <w:tc>
          <w:tcPr>
            <w:tcW w:w="11933" w:type="dxa"/>
            <w:gridSpan w:val="14"/>
            <w:noWrap/>
            <w:vAlign w:val="bottom"/>
            <w:hideMark/>
          </w:tcPr>
          <w:p w:rsidR="00AF3B34" w:rsidRDefault="00AF3B34">
            <w:pPr>
              <w:spacing w:after="0"/>
              <w:jc w:val="both"/>
              <w:rPr>
                <w:rFonts w:cs="Times New Roman"/>
              </w:rPr>
            </w:pPr>
          </w:p>
        </w:tc>
        <w:tc>
          <w:tcPr>
            <w:tcW w:w="1332" w:type="dxa"/>
            <w:gridSpan w:val="2"/>
            <w:noWrap/>
            <w:vAlign w:val="bottom"/>
            <w:hideMark/>
          </w:tcPr>
          <w:p w:rsidR="00AF3B34" w:rsidRDefault="00AF3B34">
            <w:pPr>
              <w:spacing w:after="0"/>
              <w:jc w:val="both"/>
              <w:rPr>
                <w:rFonts w:cs="Times New Roman"/>
              </w:rPr>
            </w:pPr>
          </w:p>
        </w:tc>
      </w:tr>
      <w:tr w:rsidR="00AF3B34" w:rsidTr="00AF3B34">
        <w:trPr>
          <w:trHeight w:val="275"/>
        </w:trPr>
        <w:tc>
          <w:tcPr>
            <w:tcW w:w="11933" w:type="dxa"/>
            <w:gridSpan w:val="14"/>
            <w:noWrap/>
            <w:vAlign w:val="bottom"/>
            <w:hideMark/>
          </w:tcPr>
          <w:p w:rsidR="00AF3B34" w:rsidRDefault="00AF3B34">
            <w:pPr>
              <w:spacing w:after="120"/>
              <w:jc w:val="both"/>
              <w:rPr>
                <w:rFonts w:ascii="Times New Roman" w:eastAsia="Times New Roman" w:hAnsi="Times New Roman"/>
                <w:b/>
                <w:color w:val="000000"/>
                <w:sz w:val="24"/>
                <w:szCs w:val="24"/>
                <w:lang w:eastAsia="pt-BR"/>
              </w:rPr>
            </w:pPr>
            <w:r>
              <w:rPr>
                <w:rFonts w:ascii="Times New Roman" w:eastAsia="Times New Roman" w:hAnsi="Times New Roman"/>
                <w:b/>
                <w:color w:val="000000"/>
                <w:sz w:val="24"/>
                <w:szCs w:val="24"/>
                <w:lang w:eastAsia="pt-BR"/>
              </w:rPr>
              <w:t>Representatividade das cobranças PCJ no valor adicional fiscal da indústria química - valores em R$ 2013</w:t>
            </w:r>
          </w:p>
        </w:tc>
        <w:tc>
          <w:tcPr>
            <w:tcW w:w="1332" w:type="dxa"/>
            <w:gridSpan w:val="2"/>
            <w:noWrap/>
            <w:vAlign w:val="bottom"/>
            <w:hideMark/>
          </w:tcPr>
          <w:p w:rsidR="00AF3B34" w:rsidRDefault="00AF3B34">
            <w:pPr>
              <w:spacing w:after="0"/>
              <w:jc w:val="both"/>
              <w:rPr>
                <w:rFonts w:cs="Times New Roman"/>
              </w:rPr>
            </w:pPr>
          </w:p>
        </w:tc>
      </w:tr>
      <w:tr w:rsidR="00AF3B34" w:rsidTr="00AF3B34">
        <w:trPr>
          <w:trHeight w:val="275"/>
        </w:trPr>
        <w:tc>
          <w:tcPr>
            <w:tcW w:w="974" w:type="dxa"/>
            <w:vMerge w:val="restart"/>
            <w:tcBorders>
              <w:top w:val="single" w:sz="8" w:space="0" w:color="auto"/>
              <w:left w:val="nil"/>
              <w:bottom w:val="single" w:sz="8" w:space="0" w:color="000000"/>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Local</w:t>
            </w:r>
          </w:p>
        </w:tc>
        <w:tc>
          <w:tcPr>
            <w:tcW w:w="2966" w:type="dxa"/>
            <w:gridSpan w:val="4"/>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Cobrança estadual</w:t>
            </w:r>
          </w:p>
        </w:tc>
        <w:tc>
          <w:tcPr>
            <w:tcW w:w="3472" w:type="dxa"/>
            <w:gridSpan w:val="4"/>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Cobrança federal</w:t>
            </w:r>
          </w:p>
        </w:tc>
        <w:tc>
          <w:tcPr>
            <w:tcW w:w="2160" w:type="dxa"/>
            <w:gridSpan w:val="2"/>
            <w:vMerge w:val="restart"/>
            <w:tcBorders>
              <w:top w:val="single" w:sz="8" w:space="0" w:color="auto"/>
              <w:left w:val="nil"/>
              <w:bottom w:val="single" w:sz="8" w:space="0" w:color="000000"/>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 Cobranças PCJ</w:t>
            </w:r>
          </w:p>
        </w:tc>
        <w:tc>
          <w:tcPr>
            <w:tcW w:w="2361" w:type="dxa"/>
            <w:gridSpan w:val="3"/>
            <w:vMerge w:val="restart"/>
            <w:tcBorders>
              <w:top w:val="single" w:sz="8" w:space="0" w:color="auto"/>
              <w:left w:val="nil"/>
              <w:bottom w:val="single" w:sz="8" w:space="0" w:color="000000"/>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VAF Setor Município</w:t>
            </w:r>
            <w:r>
              <w:rPr>
                <w:rFonts w:ascii="Times New Roman" w:eastAsia="Times New Roman" w:hAnsi="Times New Roman"/>
                <w:b/>
                <w:bCs/>
                <w:color w:val="000000"/>
                <w:vertAlign w:val="superscript"/>
                <w:lang w:eastAsia="pt-BR"/>
              </w:rPr>
              <w:t>1</w:t>
            </w:r>
          </w:p>
        </w:tc>
        <w:tc>
          <w:tcPr>
            <w:tcW w:w="1332" w:type="dxa"/>
            <w:gridSpan w:val="2"/>
            <w:vMerge w:val="restart"/>
            <w:tcBorders>
              <w:top w:val="single" w:sz="8" w:space="0" w:color="auto"/>
              <w:left w:val="nil"/>
              <w:bottom w:val="single" w:sz="8" w:space="0" w:color="000000"/>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Participação</w:t>
            </w:r>
          </w:p>
        </w:tc>
      </w:tr>
      <w:tr w:rsidR="00AF3B34" w:rsidTr="00AF3B34">
        <w:trPr>
          <w:trHeight w:val="275"/>
        </w:trPr>
        <w:tc>
          <w:tcPr>
            <w:tcW w:w="0" w:type="auto"/>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lang w:eastAsia="pt-BR"/>
              </w:rPr>
            </w:pPr>
          </w:p>
        </w:tc>
        <w:tc>
          <w:tcPr>
            <w:tcW w:w="1692" w:type="dxa"/>
            <w:gridSpan w:val="2"/>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Qtd. Usuários</w:t>
            </w:r>
          </w:p>
        </w:tc>
        <w:tc>
          <w:tcPr>
            <w:tcW w:w="1275" w:type="dxa"/>
            <w:gridSpan w:val="2"/>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Valor pago</w:t>
            </w:r>
          </w:p>
        </w:tc>
        <w:tc>
          <w:tcPr>
            <w:tcW w:w="1603" w:type="dxa"/>
            <w:gridSpan w:val="2"/>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Qtd. Usuários</w:t>
            </w:r>
          </w:p>
        </w:tc>
        <w:tc>
          <w:tcPr>
            <w:tcW w:w="1868" w:type="dxa"/>
            <w:gridSpan w:val="2"/>
            <w:tcBorders>
              <w:top w:val="nil"/>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Valor pago</w:t>
            </w:r>
          </w:p>
        </w:tc>
        <w:tc>
          <w:tcPr>
            <w:tcW w:w="0" w:type="auto"/>
            <w:gridSpan w:val="2"/>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lang w:eastAsia="pt-BR"/>
              </w:rPr>
            </w:pPr>
          </w:p>
        </w:tc>
        <w:tc>
          <w:tcPr>
            <w:tcW w:w="0" w:type="auto"/>
            <w:gridSpan w:val="3"/>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lang w:eastAsia="pt-BR"/>
              </w:rPr>
            </w:pPr>
          </w:p>
        </w:tc>
        <w:tc>
          <w:tcPr>
            <w:tcW w:w="0" w:type="auto"/>
            <w:gridSpan w:val="2"/>
            <w:vMerge/>
            <w:tcBorders>
              <w:top w:val="single" w:sz="8" w:space="0" w:color="auto"/>
              <w:left w:val="nil"/>
              <w:bottom w:val="single" w:sz="8" w:space="0" w:color="000000"/>
              <w:right w:val="nil"/>
            </w:tcBorders>
            <w:vAlign w:val="center"/>
            <w:hideMark/>
          </w:tcPr>
          <w:p w:rsidR="00AF3B34" w:rsidRDefault="00AF3B34">
            <w:pPr>
              <w:spacing w:after="0"/>
              <w:rPr>
                <w:rFonts w:ascii="Times New Roman" w:eastAsia="Times New Roman" w:hAnsi="Times New Roman"/>
                <w:b/>
                <w:bCs/>
                <w:color w:val="000000"/>
                <w:lang w:eastAsia="pt-BR"/>
              </w:rPr>
            </w:pPr>
          </w:p>
        </w:tc>
      </w:tr>
      <w:tr w:rsidR="00AF3B34" w:rsidTr="00AF3B34">
        <w:trPr>
          <w:trHeight w:val="275"/>
        </w:trPr>
        <w:tc>
          <w:tcPr>
            <w:tcW w:w="974" w:type="dxa"/>
            <w:noWrap/>
            <w:vAlign w:val="bottom"/>
            <w:hideMark/>
          </w:tcPr>
          <w:p w:rsidR="00AF3B34" w:rsidRDefault="00AF3B34">
            <w:pPr>
              <w:spacing w:after="120"/>
              <w:jc w:val="both"/>
              <w:rPr>
                <w:rFonts w:ascii="Times New Roman" w:eastAsia="Times New Roman" w:hAnsi="Times New Roman"/>
                <w:color w:val="000000"/>
                <w:lang w:eastAsia="pt-BR"/>
              </w:rPr>
            </w:pPr>
            <w:r>
              <w:rPr>
                <w:rFonts w:ascii="Times New Roman" w:eastAsia="Times New Roman" w:hAnsi="Times New Roman"/>
                <w:color w:val="000000"/>
                <w:lang w:eastAsia="pt-BR"/>
              </w:rPr>
              <w:t>Paulínia</w:t>
            </w:r>
          </w:p>
        </w:tc>
        <w:tc>
          <w:tcPr>
            <w:tcW w:w="1692"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w:t>
            </w:r>
          </w:p>
        </w:tc>
        <w:tc>
          <w:tcPr>
            <w:tcW w:w="1275" w:type="dxa"/>
            <w:gridSpan w:val="2"/>
            <w:noWrap/>
            <w:vAlign w:val="bottom"/>
            <w:hideMark/>
          </w:tcPr>
          <w:p w:rsidR="00AF3B34" w:rsidRDefault="00AF3B34">
            <w:pPr>
              <w:spacing w:after="120"/>
              <w:jc w:val="right"/>
              <w:rPr>
                <w:rFonts w:ascii="Times New Roman" w:eastAsia="Times New Roman" w:hAnsi="Times New Roman"/>
                <w:color w:val="000000"/>
                <w:lang w:eastAsia="pt-BR"/>
              </w:rPr>
            </w:pPr>
            <w:r>
              <w:rPr>
                <w:rFonts w:ascii="Times New Roman" w:eastAsia="Times New Roman" w:hAnsi="Times New Roman"/>
                <w:color w:val="000000"/>
                <w:lang w:eastAsia="pt-BR"/>
              </w:rPr>
              <w:t>R$ 0,00</w:t>
            </w:r>
          </w:p>
        </w:tc>
        <w:tc>
          <w:tcPr>
            <w:tcW w:w="1603"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5</w:t>
            </w:r>
          </w:p>
        </w:tc>
        <w:tc>
          <w:tcPr>
            <w:tcW w:w="1868"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R$ 1.048.342,61</w:t>
            </w:r>
          </w:p>
        </w:tc>
        <w:tc>
          <w:tcPr>
            <w:tcW w:w="2160"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R$ 1.048.342,61</w:t>
            </w:r>
          </w:p>
        </w:tc>
        <w:tc>
          <w:tcPr>
            <w:tcW w:w="2361" w:type="dxa"/>
            <w:gridSpan w:val="3"/>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R$ 1.830.734.065,00</w:t>
            </w:r>
          </w:p>
        </w:tc>
        <w:tc>
          <w:tcPr>
            <w:tcW w:w="1332"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0,06</w:t>
            </w:r>
          </w:p>
        </w:tc>
      </w:tr>
      <w:tr w:rsidR="00AF3B34" w:rsidTr="00AF3B34">
        <w:trPr>
          <w:trHeight w:val="275"/>
        </w:trPr>
        <w:tc>
          <w:tcPr>
            <w:tcW w:w="974" w:type="dxa"/>
            <w:tcBorders>
              <w:top w:val="single" w:sz="8" w:space="0" w:color="auto"/>
              <w:left w:val="nil"/>
              <w:bottom w:val="single" w:sz="8" w:space="0" w:color="auto"/>
              <w:right w:val="nil"/>
            </w:tcBorders>
            <w:noWrap/>
            <w:vAlign w:val="bottom"/>
            <w:hideMark/>
          </w:tcPr>
          <w:p w:rsidR="00AF3B34" w:rsidRDefault="00AF3B34">
            <w:pPr>
              <w:spacing w:after="120"/>
              <w:jc w:val="both"/>
              <w:rPr>
                <w:rFonts w:ascii="Times New Roman" w:eastAsia="Times New Roman" w:hAnsi="Times New Roman"/>
                <w:b/>
                <w:bCs/>
                <w:color w:val="000000"/>
                <w:lang w:eastAsia="pt-BR"/>
              </w:rPr>
            </w:pPr>
            <w:r>
              <w:rPr>
                <w:rFonts w:ascii="Times New Roman" w:eastAsia="Times New Roman" w:hAnsi="Times New Roman"/>
                <w:b/>
                <w:bCs/>
                <w:color w:val="000000"/>
                <w:lang w:eastAsia="pt-BR"/>
              </w:rPr>
              <w:lastRenderedPageBreak/>
              <w:t>Total</w:t>
            </w:r>
          </w:p>
        </w:tc>
        <w:tc>
          <w:tcPr>
            <w:tcW w:w="1692"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0</w:t>
            </w:r>
          </w:p>
        </w:tc>
        <w:tc>
          <w:tcPr>
            <w:tcW w:w="1275"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R$ 0,00</w:t>
            </w:r>
          </w:p>
        </w:tc>
        <w:tc>
          <w:tcPr>
            <w:tcW w:w="1603"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5</w:t>
            </w:r>
          </w:p>
        </w:tc>
        <w:tc>
          <w:tcPr>
            <w:tcW w:w="1868"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R$ 1.048.342,61</w:t>
            </w:r>
          </w:p>
        </w:tc>
        <w:tc>
          <w:tcPr>
            <w:tcW w:w="2160"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R$ 1.048.342,61</w:t>
            </w:r>
          </w:p>
        </w:tc>
        <w:tc>
          <w:tcPr>
            <w:tcW w:w="2361" w:type="dxa"/>
            <w:gridSpan w:val="3"/>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R$ 1.830.734.065,00</w:t>
            </w:r>
          </w:p>
        </w:tc>
        <w:tc>
          <w:tcPr>
            <w:tcW w:w="1332" w:type="dxa"/>
            <w:gridSpan w:val="2"/>
            <w:tcBorders>
              <w:top w:val="single" w:sz="8" w:space="0" w:color="auto"/>
              <w:left w:val="nil"/>
              <w:bottom w:val="single" w:sz="8"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0,06</w:t>
            </w:r>
          </w:p>
        </w:tc>
      </w:tr>
      <w:tr w:rsidR="00AF3B34" w:rsidTr="00AF3B34">
        <w:trPr>
          <w:trHeight w:val="262"/>
        </w:trPr>
        <w:tc>
          <w:tcPr>
            <w:tcW w:w="7413" w:type="dxa"/>
            <w:gridSpan w:val="9"/>
            <w:noWrap/>
            <w:vAlign w:val="bottom"/>
            <w:hideMark/>
          </w:tcPr>
          <w:p w:rsidR="00AF3B34" w:rsidRDefault="00AF3B34">
            <w:pPr>
              <w:spacing w:after="120"/>
              <w:jc w:val="both"/>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Fonte: Banco de dados da Fundação Agência das Bacias PCJ e Fundação Seade.</w:t>
            </w:r>
          </w:p>
        </w:tc>
        <w:tc>
          <w:tcPr>
            <w:tcW w:w="2160" w:type="dxa"/>
            <w:gridSpan w:val="2"/>
            <w:noWrap/>
            <w:vAlign w:val="bottom"/>
            <w:hideMark/>
          </w:tcPr>
          <w:p w:rsidR="00AF3B34" w:rsidRDefault="00AF3B34">
            <w:pPr>
              <w:spacing w:after="0"/>
              <w:jc w:val="both"/>
              <w:rPr>
                <w:rFonts w:cs="Times New Roman"/>
              </w:rPr>
            </w:pPr>
          </w:p>
        </w:tc>
        <w:tc>
          <w:tcPr>
            <w:tcW w:w="2361" w:type="dxa"/>
            <w:gridSpan w:val="3"/>
            <w:noWrap/>
            <w:vAlign w:val="bottom"/>
            <w:hideMark/>
          </w:tcPr>
          <w:p w:rsidR="00AF3B34" w:rsidRDefault="00AF3B34">
            <w:pPr>
              <w:spacing w:after="0"/>
              <w:jc w:val="both"/>
              <w:rPr>
                <w:rFonts w:cs="Times New Roman"/>
              </w:rPr>
            </w:pPr>
          </w:p>
        </w:tc>
        <w:tc>
          <w:tcPr>
            <w:tcW w:w="1332" w:type="dxa"/>
            <w:gridSpan w:val="2"/>
            <w:noWrap/>
            <w:vAlign w:val="bottom"/>
            <w:hideMark/>
          </w:tcPr>
          <w:p w:rsidR="00AF3B34" w:rsidRDefault="00AF3B34">
            <w:pPr>
              <w:spacing w:after="0"/>
              <w:jc w:val="both"/>
              <w:rPr>
                <w:rFonts w:cs="Times New Roman"/>
              </w:rPr>
            </w:pPr>
          </w:p>
        </w:tc>
      </w:tr>
    </w:tbl>
    <w:p w:rsidR="00AF3B34" w:rsidRDefault="00AF3B34" w:rsidP="00AF3B34">
      <w:pPr>
        <w:rPr>
          <w:rFonts w:ascii="Times New Roman" w:hAnsi="Times New Roman"/>
          <w:sz w:val="24"/>
          <w:szCs w:val="24"/>
        </w:rPr>
      </w:pPr>
      <w:r>
        <w:rPr>
          <w:rFonts w:ascii="Times New Roman" w:hAnsi="Times New Roman"/>
          <w:b/>
          <w:sz w:val="24"/>
          <w:szCs w:val="24"/>
        </w:rPr>
        <w:t>Cálculo dos Impactos sobre as atividades do setor Industrial (Sucroalcooleiro) através do CUSTO OPERACIONAL MÉDIO DA CANA DE AÇUCAR (safra 2012-2013)</w:t>
      </w:r>
      <w:r>
        <w:rPr>
          <w:rFonts w:ascii="Times New Roman" w:hAnsi="Times New Roman"/>
          <w:sz w:val="24"/>
          <w:szCs w:val="24"/>
        </w:rPr>
        <w:t>.</w:t>
      </w:r>
    </w:p>
    <w:p w:rsidR="00AF3B34" w:rsidRDefault="00AF3B34" w:rsidP="00AF3B34">
      <w:pPr>
        <w:rPr>
          <w:rFonts w:ascii="Times New Roman" w:hAnsi="Times New Roman"/>
          <w:sz w:val="24"/>
          <w:szCs w:val="24"/>
        </w:rPr>
      </w:pPr>
      <w:r>
        <w:rPr>
          <w:rFonts w:ascii="Times New Roman" w:hAnsi="Times New Roman"/>
          <w:sz w:val="24"/>
          <w:szCs w:val="24"/>
        </w:rPr>
        <w:t>Para esta metodologia, foram utilizadas informações referentes às quantidades de cana processadas em 6 dos 8 usuários pagantes da cobrança pelo usos dos recursos hídricos em rios de domínio do Estado de São Paulo que dispunha de informações no  Anuário da Cana 2013, publicado por Procana Brasil (www.procana.com.br).</w:t>
      </w:r>
    </w:p>
    <w:p w:rsidR="00AF3B34" w:rsidRDefault="00AF3B34" w:rsidP="00AF3B34">
      <w:pPr>
        <w:rPr>
          <w:rFonts w:ascii="Times New Roman" w:hAnsi="Times New Roman"/>
          <w:sz w:val="24"/>
          <w:szCs w:val="24"/>
        </w:rPr>
      </w:pPr>
      <w:r>
        <w:rPr>
          <w:rFonts w:ascii="Times New Roman" w:hAnsi="Times New Roman"/>
          <w:sz w:val="24"/>
          <w:szCs w:val="24"/>
        </w:rPr>
        <w:t>Foi utilizado também informações obtidas através do Portal de Informações Sucroenergéticas do PECEGE (</w:t>
      </w:r>
      <w:hyperlink r:id="rId10" w:history="1">
        <w:r>
          <w:rPr>
            <w:rStyle w:val="Hyperlink"/>
            <w:rFonts w:ascii="Times New Roman" w:hAnsi="Times New Roman"/>
            <w:sz w:val="24"/>
            <w:szCs w:val="24"/>
          </w:rPr>
          <w:t>www.pecege.esalq.usp.br/portal</w:t>
        </w:r>
      </w:hyperlink>
      <w:r>
        <w:rPr>
          <w:rFonts w:ascii="Times New Roman" w:hAnsi="Times New Roman"/>
          <w:sz w:val="24"/>
          <w:szCs w:val="24"/>
        </w:rPr>
        <w:t>) referentes aos Custos da Cana de Açúcar na safra de 2012-2013 para a região Centro Sul Tradicional (CS Tradicional) cujo valor para a safra 2012-2013 foi de R$ 68,73, além das informações sobre os valores efetivamente pagos por estes usuários na cobrança paulista.</w:t>
      </w:r>
    </w:p>
    <w:p w:rsidR="00AF3B34" w:rsidRDefault="00AF3B34" w:rsidP="00AF3B34">
      <w:pPr>
        <w:rPr>
          <w:rFonts w:ascii="Times New Roman" w:hAnsi="Times New Roman"/>
          <w:sz w:val="24"/>
          <w:szCs w:val="24"/>
        </w:rPr>
      </w:pPr>
      <w:r>
        <w:rPr>
          <w:rFonts w:ascii="Times New Roman" w:hAnsi="Times New Roman"/>
          <w:sz w:val="24"/>
          <w:szCs w:val="24"/>
        </w:rPr>
        <w:t>Assim temos que, multiplicando a quantidade de cana processada na usina pelo valor dos Custos de Produção da Cana de Açúcar, obtemos o Custo Operacional Médio Anual em (R$/ano) para cada usuário. Em seguida dividimos o valor efetivamente pago a título de cobrança pelo uso dos recursos hídricos em 2013 pelo  Custo Operacional Médio Anual para obtermos então o impacto em (%) da cobrança sobre os Custos Médios de produção da Cana de Açúcar, que em nosso entendimento é muito pequeno frente aos demais insumos.ara o cálculo dos anos de 2014 a 2016 foram utilizados as alterações previstas na Deliberação dos Comitês PCJ 160/12 e mantido o mesmo valor para os Custos da Cana de Açúcar na safra de 2012-2013 para a região Centro Sul Tradicional (CS Tradicional) cujo valor para a safra 2012-2013 foi de R$ 68,73.</w:t>
      </w: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p>
    <w:p w:rsidR="00AF3B34" w:rsidRDefault="00AF3B34" w:rsidP="00AF3B34">
      <w:pPr>
        <w:rPr>
          <w:rFonts w:ascii="Times New Roman" w:hAnsi="Times New Roman"/>
          <w:sz w:val="24"/>
          <w:szCs w:val="24"/>
        </w:rPr>
      </w:pPr>
      <w:r>
        <w:rPr>
          <w:rFonts w:ascii="Times New Roman" w:eastAsia="Times New Roman" w:hAnsi="Times New Roman"/>
          <w:b/>
          <w:color w:val="000000"/>
          <w:sz w:val="24"/>
          <w:szCs w:val="24"/>
          <w:lang w:eastAsia="pt-BR"/>
        </w:rPr>
        <w:t>Cálculo dos impactos das cobranças PCJ no setor sucroalcooleiro através do custo operacional médio da cana-de-açúcar (safra 2012-2013).</w:t>
      </w:r>
    </w:p>
    <w:tbl>
      <w:tblPr>
        <w:tblW w:w="13885" w:type="dxa"/>
        <w:jc w:val="center"/>
        <w:tblCellMar>
          <w:left w:w="70" w:type="dxa"/>
          <w:right w:w="70" w:type="dxa"/>
        </w:tblCellMar>
        <w:tblLook w:val="04A0"/>
      </w:tblPr>
      <w:tblGrid>
        <w:gridCol w:w="813"/>
        <w:gridCol w:w="1631"/>
        <w:gridCol w:w="1130"/>
        <w:gridCol w:w="1421"/>
        <w:gridCol w:w="1642"/>
        <w:gridCol w:w="923"/>
        <w:gridCol w:w="1141"/>
        <w:gridCol w:w="923"/>
        <w:gridCol w:w="1141"/>
        <w:gridCol w:w="923"/>
        <w:gridCol w:w="1310"/>
        <w:gridCol w:w="923"/>
      </w:tblGrid>
      <w:tr w:rsidR="00AF3B34" w:rsidTr="00AF3B34">
        <w:trPr>
          <w:trHeight w:val="129"/>
          <w:jc w:val="center"/>
        </w:trPr>
        <w:tc>
          <w:tcPr>
            <w:tcW w:w="808"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Ordem</w:t>
            </w:r>
          </w:p>
        </w:tc>
        <w:tc>
          <w:tcPr>
            <w:tcW w:w="1631"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Nome</w:t>
            </w:r>
          </w:p>
        </w:tc>
        <w:tc>
          <w:tcPr>
            <w:tcW w:w="1123" w:type="dxa"/>
            <w:tcBorders>
              <w:top w:val="single" w:sz="4" w:space="0" w:color="auto"/>
              <w:left w:val="nil"/>
              <w:bottom w:val="single" w:sz="4" w:space="0" w:color="auto"/>
              <w:right w:val="nil"/>
            </w:tcBorders>
            <w:vAlign w:val="bottom"/>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 Anual -Cobrança 2013 (R$)</w:t>
            </w:r>
          </w:p>
        </w:tc>
        <w:tc>
          <w:tcPr>
            <w:tcW w:w="1421" w:type="dxa"/>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Moagem       (t) </w:t>
            </w:r>
            <w:r>
              <w:rPr>
                <w:rFonts w:ascii="Times New Roman" w:eastAsia="Times New Roman" w:hAnsi="Times New Roman"/>
                <w:b/>
                <w:bCs/>
                <w:color w:val="000000"/>
                <w:vertAlign w:val="superscript"/>
                <w:lang w:eastAsia="pt-BR"/>
              </w:rPr>
              <w:t>(1)</w:t>
            </w:r>
          </w:p>
        </w:tc>
        <w:tc>
          <w:tcPr>
            <w:tcW w:w="1642" w:type="dxa"/>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Custo Operacional Médio (R$/ano)</w:t>
            </w:r>
            <w:r>
              <w:rPr>
                <w:rFonts w:ascii="Times New Roman" w:eastAsia="Times New Roman" w:hAnsi="Times New Roman"/>
                <w:b/>
                <w:bCs/>
                <w:color w:val="000000"/>
                <w:vertAlign w:val="superscript"/>
                <w:lang w:eastAsia="pt-BR"/>
              </w:rPr>
              <w:t>(2)</w:t>
            </w:r>
          </w:p>
        </w:tc>
        <w:tc>
          <w:tcPr>
            <w:tcW w:w="917" w:type="dxa"/>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Impacto Médio 2013  (%) </w:t>
            </w:r>
            <w:r>
              <w:rPr>
                <w:rFonts w:ascii="Times New Roman" w:eastAsia="Times New Roman" w:hAnsi="Times New Roman"/>
                <w:b/>
                <w:bCs/>
                <w:color w:val="000000"/>
                <w:vertAlign w:val="superscript"/>
                <w:lang w:eastAsia="pt-BR"/>
              </w:rPr>
              <w:t>(3)</w:t>
            </w:r>
          </w:p>
        </w:tc>
        <w:tc>
          <w:tcPr>
            <w:tcW w:w="1141" w:type="dxa"/>
            <w:tcBorders>
              <w:top w:val="single" w:sz="4" w:space="0" w:color="auto"/>
              <w:left w:val="nil"/>
              <w:bottom w:val="single" w:sz="4" w:space="0" w:color="auto"/>
              <w:right w:val="nil"/>
            </w:tcBorders>
            <w:vAlign w:val="bottom"/>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 Anual -Cobrança 2014 (R$)</w:t>
            </w:r>
            <w:r>
              <w:rPr>
                <w:rFonts w:ascii="Times New Roman" w:eastAsia="Times New Roman" w:hAnsi="Times New Roman"/>
                <w:b/>
                <w:bCs/>
                <w:color w:val="000000"/>
                <w:vertAlign w:val="superscript"/>
                <w:lang w:eastAsia="pt-BR"/>
              </w:rPr>
              <w:t>(4)</w:t>
            </w:r>
          </w:p>
        </w:tc>
        <w:tc>
          <w:tcPr>
            <w:tcW w:w="917" w:type="dxa"/>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Impacto Médio 2014  (%) </w:t>
            </w:r>
            <w:r>
              <w:rPr>
                <w:rFonts w:ascii="Times New Roman" w:eastAsia="Times New Roman" w:hAnsi="Times New Roman"/>
                <w:b/>
                <w:bCs/>
                <w:color w:val="000000"/>
                <w:vertAlign w:val="superscript"/>
                <w:lang w:eastAsia="pt-BR"/>
              </w:rPr>
              <w:t>(5)</w:t>
            </w:r>
          </w:p>
        </w:tc>
        <w:tc>
          <w:tcPr>
            <w:tcW w:w="1141" w:type="dxa"/>
            <w:tcBorders>
              <w:top w:val="single" w:sz="4" w:space="0" w:color="auto"/>
              <w:left w:val="nil"/>
              <w:bottom w:val="single" w:sz="4" w:space="0" w:color="auto"/>
              <w:right w:val="nil"/>
            </w:tcBorders>
            <w:vAlign w:val="bottom"/>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 Anual -Cobrança 2015 (R$)</w:t>
            </w:r>
            <w:r>
              <w:rPr>
                <w:rFonts w:ascii="Times New Roman" w:eastAsia="Times New Roman" w:hAnsi="Times New Roman"/>
                <w:b/>
                <w:bCs/>
                <w:color w:val="000000"/>
                <w:vertAlign w:val="superscript"/>
                <w:lang w:eastAsia="pt-BR"/>
              </w:rPr>
              <w:t>(6)</w:t>
            </w:r>
          </w:p>
        </w:tc>
        <w:tc>
          <w:tcPr>
            <w:tcW w:w="917" w:type="dxa"/>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Impacto Médio 2015  (%) </w:t>
            </w:r>
            <w:r>
              <w:rPr>
                <w:rFonts w:ascii="Times New Roman" w:eastAsia="Times New Roman" w:hAnsi="Times New Roman"/>
                <w:b/>
                <w:bCs/>
                <w:color w:val="000000"/>
                <w:vertAlign w:val="superscript"/>
                <w:lang w:eastAsia="pt-BR"/>
              </w:rPr>
              <w:t>(7)</w:t>
            </w:r>
          </w:p>
        </w:tc>
        <w:tc>
          <w:tcPr>
            <w:tcW w:w="1310" w:type="dxa"/>
            <w:tcBorders>
              <w:top w:val="single" w:sz="4" w:space="0" w:color="auto"/>
              <w:left w:val="nil"/>
              <w:bottom w:val="single" w:sz="4" w:space="0" w:color="auto"/>
              <w:right w:val="nil"/>
            </w:tcBorders>
            <w:vAlign w:val="bottom"/>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 Anual - Cobrança 2016 (R$)</w:t>
            </w:r>
            <w:r>
              <w:rPr>
                <w:rFonts w:ascii="Times New Roman" w:eastAsia="Times New Roman" w:hAnsi="Times New Roman"/>
                <w:b/>
                <w:bCs/>
                <w:color w:val="000000"/>
                <w:vertAlign w:val="superscript"/>
                <w:lang w:eastAsia="pt-BR"/>
              </w:rPr>
              <w:t>(8)</w:t>
            </w:r>
          </w:p>
        </w:tc>
        <w:tc>
          <w:tcPr>
            <w:tcW w:w="917" w:type="dxa"/>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Impacto Médio 2016 (%) </w:t>
            </w:r>
            <w:r>
              <w:rPr>
                <w:rFonts w:ascii="Times New Roman" w:eastAsia="Times New Roman" w:hAnsi="Times New Roman"/>
                <w:b/>
                <w:bCs/>
                <w:color w:val="000000"/>
                <w:vertAlign w:val="superscript"/>
                <w:lang w:eastAsia="pt-BR"/>
              </w:rPr>
              <w:t>(9)</w:t>
            </w:r>
          </w:p>
        </w:tc>
      </w:tr>
      <w:tr w:rsidR="00AF3B34" w:rsidTr="00AF3B34">
        <w:trPr>
          <w:trHeight w:val="259"/>
          <w:jc w:val="center"/>
        </w:trPr>
        <w:tc>
          <w:tcPr>
            <w:tcW w:w="808"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w:t>
            </w:r>
          </w:p>
        </w:tc>
        <w:tc>
          <w:tcPr>
            <w:tcW w:w="1631"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A</w:t>
            </w:r>
          </w:p>
        </w:tc>
        <w:tc>
          <w:tcPr>
            <w:tcW w:w="1123"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39.947,61</w:t>
            </w:r>
          </w:p>
        </w:tc>
        <w:tc>
          <w:tcPr>
            <w:tcW w:w="1421"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1.140.968,00</w:t>
            </w:r>
          </w:p>
        </w:tc>
        <w:tc>
          <w:tcPr>
            <w:tcW w:w="1642"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78.418.730,64</w:t>
            </w:r>
          </w:p>
        </w:tc>
        <w:tc>
          <w:tcPr>
            <w:tcW w:w="917"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0,0005</w:t>
            </w:r>
          </w:p>
        </w:tc>
        <w:tc>
          <w:tcPr>
            <w:tcW w:w="1141"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43.303,21</w:t>
            </w:r>
          </w:p>
        </w:tc>
        <w:tc>
          <w:tcPr>
            <w:tcW w:w="917"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0,0006</w:t>
            </w:r>
          </w:p>
        </w:tc>
        <w:tc>
          <w:tcPr>
            <w:tcW w:w="1141"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46.940,68</w:t>
            </w:r>
          </w:p>
        </w:tc>
        <w:tc>
          <w:tcPr>
            <w:tcW w:w="917"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0,0006</w:t>
            </w:r>
          </w:p>
        </w:tc>
        <w:tc>
          <w:tcPr>
            <w:tcW w:w="1310"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50.883,70</w:t>
            </w:r>
          </w:p>
        </w:tc>
        <w:tc>
          <w:tcPr>
            <w:tcW w:w="917"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0,0006</w:t>
            </w:r>
          </w:p>
        </w:tc>
      </w:tr>
      <w:tr w:rsidR="00AF3B34" w:rsidTr="00AF3B34">
        <w:trPr>
          <w:trHeight w:val="246"/>
          <w:jc w:val="center"/>
        </w:trPr>
        <w:tc>
          <w:tcPr>
            <w:tcW w:w="808"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w:t>
            </w:r>
          </w:p>
        </w:tc>
        <w:tc>
          <w:tcPr>
            <w:tcW w:w="163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B</w:t>
            </w:r>
          </w:p>
        </w:tc>
        <w:tc>
          <w:tcPr>
            <w:tcW w:w="1123"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56.968,53</w:t>
            </w:r>
          </w:p>
        </w:tc>
        <w:tc>
          <w:tcPr>
            <w:tcW w:w="142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1.324.743,00</w:t>
            </w:r>
          </w:p>
        </w:tc>
        <w:tc>
          <w:tcPr>
            <w:tcW w:w="1642"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91.049.586,39</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0,0006</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61.753,89</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0,0007</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66.941,21</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0,0007</w:t>
            </w:r>
          </w:p>
        </w:tc>
        <w:tc>
          <w:tcPr>
            <w:tcW w:w="1310"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72.564,27</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0,0008</w:t>
            </w:r>
          </w:p>
        </w:tc>
      </w:tr>
      <w:tr w:rsidR="00AF3B34" w:rsidTr="00AF3B34">
        <w:trPr>
          <w:trHeight w:val="246"/>
          <w:jc w:val="center"/>
        </w:trPr>
        <w:tc>
          <w:tcPr>
            <w:tcW w:w="808"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w:t>
            </w:r>
          </w:p>
        </w:tc>
        <w:tc>
          <w:tcPr>
            <w:tcW w:w="163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C</w:t>
            </w:r>
          </w:p>
        </w:tc>
        <w:tc>
          <w:tcPr>
            <w:tcW w:w="1123"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72.982,66</w:t>
            </w:r>
          </w:p>
        </w:tc>
        <w:tc>
          <w:tcPr>
            <w:tcW w:w="142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3.607.554,00</w:t>
            </w:r>
          </w:p>
        </w:tc>
        <w:tc>
          <w:tcPr>
            <w:tcW w:w="1642"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247.947.186,42</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0,0003</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79.113,20</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0,0003</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85.758,71</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0,0003</w:t>
            </w:r>
          </w:p>
        </w:tc>
        <w:tc>
          <w:tcPr>
            <w:tcW w:w="1310"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92.962,44</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0,0004</w:t>
            </w:r>
          </w:p>
        </w:tc>
      </w:tr>
      <w:tr w:rsidR="00AF3B34" w:rsidTr="00AF3B34">
        <w:trPr>
          <w:trHeight w:val="246"/>
          <w:jc w:val="center"/>
        </w:trPr>
        <w:tc>
          <w:tcPr>
            <w:tcW w:w="808"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w:t>
            </w:r>
          </w:p>
        </w:tc>
        <w:tc>
          <w:tcPr>
            <w:tcW w:w="163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D</w:t>
            </w:r>
          </w:p>
        </w:tc>
        <w:tc>
          <w:tcPr>
            <w:tcW w:w="1123"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118.472,20</w:t>
            </w:r>
          </w:p>
        </w:tc>
        <w:tc>
          <w:tcPr>
            <w:tcW w:w="142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2.146.644,00</w:t>
            </w:r>
          </w:p>
        </w:tc>
        <w:tc>
          <w:tcPr>
            <w:tcW w:w="1642"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147.538.842,12</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0,0008</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128.423,86</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0,0009</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139.211,47</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0,0009</w:t>
            </w:r>
          </w:p>
        </w:tc>
        <w:tc>
          <w:tcPr>
            <w:tcW w:w="1310"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150.905,23</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0,0010</w:t>
            </w:r>
          </w:p>
        </w:tc>
      </w:tr>
      <w:tr w:rsidR="00AF3B34" w:rsidTr="00AF3B34">
        <w:trPr>
          <w:trHeight w:val="246"/>
          <w:jc w:val="center"/>
        </w:trPr>
        <w:tc>
          <w:tcPr>
            <w:tcW w:w="808"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5</w:t>
            </w:r>
          </w:p>
        </w:tc>
        <w:tc>
          <w:tcPr>
            <w:tcW w:w="163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E</w:t>
            </w:r>
          </w:p>
        </w:tc>
        <w:tc>
          <w:tcPr>
            <w:tcW w:w="1123"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166.650,24</w:t>
            </w:r>
          </w:p>
        </w:tc>
        <w:tc>
          <w:tcPr>
            <w:tcW w:w="142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2.704.116,00</w:t>
            </w:r>
          </w:p>
        </w:tc>
        <w:tc>
          <w:tcPr>
            <w:tcW w:w="1642"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185.853.892,68</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0,0009</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180.648,86</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0,0010</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195.823,36</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0,0011</w:t>
            </w:r>
          </w:p>
        </w:tc>
        <w:tc>
          <w:tcPr>
            <w:tcW w:w="1310"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212.272,53</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0,0011</w:t>
            </w:r>
          </w:p>
        </w:tc>
      </w:tr>
      <w:tr w:rsidR="00AF3B34" w:rsidTr="00AF3B34">
        <w:trPr>
          <w:trHeight w:val="283"/>
          <w:jc w:val="center"/>
        </w:trPr>
        <w:tc>
          <w:tcPr>
            <w:tcW w:w="808"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w:t>
            </w:r>
          </w:p>
        </w:tc>
        <w:tc>
          <w:tcPr>
            <w:tcW w:w="163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 xml:space="preserve">EMPRESA F </w:t>
            </w:r>
            <w:r>
              <w:rPr>
                <w:rFonts w:ascii="Times New Roman" w:eastAsia="Times New Roman" w:hAnsi="Times New Roman"/>
                <w:color w:val="000000"/>
                <w:vertAlign w:val="superscript"/>
                <w:lang w:eastAsia="pt-BR"/>
              </w:rPr>
              <w:t>(A)</w:t>
            </w:r>
          </w:p>
        </w:tc>
        <w:tc>
          <w:tcPr>
            <w:tcW w:w="1123"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319.655,52</w:t>
            </w:r>
          </w:p>
        </w:tc>
        <w:tc>
          <w:tcPr>
            <w:tcW w:w="142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1.786.795,00</w:t>
            </w:r>
          </w:p>
        </w:tc>
        <w:tc>
          <w:tcPr>
            <w:tcW w:w="1642"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122.806.420,35</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0,0026</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346.506,58</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0,0028</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375.613,14</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0,0031</w:t>
            </w:r>
          </w:p>
        </w:tc>
        <w:tc>
          <w:tcPr>
            <w:tcW w:w="1310"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407.164,64</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0,0033</w:t>
            </w:r>
          </w:p>
        </w:tc>
      </w:tr>
      <w:tr w:rsidR="00AF3B34" w:rsidTr="00AF3B34">
        <w:trPr>
          <w:trHeight w:val="246"/>
          <w:jc w:val="center"/>
        </w:trPr>
        <w:tc>
          <w:tcPr>
            <w:tcW w:w="808"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7</w:t>
            </w:r>
          </w:p>
        </w:tc>
        <w:tc>
          <w:tcPr>
            <w:tcW w:w="163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G</w:t>
            </w:r>
          </w:p>
        </w:tc>
        <w:tc>
          <w:tcPr>
            <w:tcW w:w="1123"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22.306,80</w:t>
            </w:r>
          </w:p>
        </w:tc>
        <w:tc>
          <w:tcPr>
            <w:tcW w:w="142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642"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0,0000</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24.180,57</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0,0000</w:t>
            </w:r>
          </w:p>
        </w:tc>
        <w:tc>
          <w:tcPr>
            <w:tcW w:w="1141"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26.211,74</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0,0000</w:t>
            </w:r>
          </w:p>
        </w:tc>
        <w:tc>
          <w:tcPr>
            <w:tcW w:w="1310"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28.413,53</w:t>
            </w:r>
          </w:p>
        </w:tc>
        <w:tc>
          <w:tcPr>
            <w:tcW w:w="917"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w:t>
            </w:r>
          </w:p>
        </w:tc>
      </w:tr>
      <w:tr w:rsidR="00AF3B34" w:rsidTr="00AF3B34">
        <w:trPr>
          <w:trHeight w:val="259"/>
          <w:jc w:val="center"/>
        </w:trPr>
        <w:tc>
          <w:tcPr>
            <w:tcW w:w="808"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8</w:t>
            </w:r>
          </w:p>
        </w:tc>
        <w:tc>
          <w:tcPr>
            <w:tcW w:w="1631"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H</w:t>
            </w:r>
          </w:p>
        </w:tc>
        <w:tc>
          <w:tcPr>
            <w:tcW w:w="1123"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31.514,84</w:t>
            </w:r>
          </w:p>
        </w:tc>
        <w:tc>
          <w:tcPr>
            <w:tcW w:w="1421"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642"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w:t>
            </w:r>
          </w:p>
        </w:tc>
        <w:tc>
          <w:tcPr>
            <w:tcW w:w="917"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0,0000</w:t>
            </w:r>
          </w:p>
        </w:tc>
        <w:tc>
          <w:tcPr>
            <w:tcW w:w="1141"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34.162,09</w:t>
            </w:r>
          </w:p>
        </w:tc>
        <w:tc>
          <w:tcPr>
            <w:tcW w:w="917"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0,0000</w:t>
            </w:r>
          </w:p>
        </w:tc>
        <w:tc>
          <w:tcPr>
            <w:tcW w:w="1141"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37.031,70</w:t>
            </w:r>
          </w:p>
        </w:tc>
        <w:tc>
          <w:tcPr>
            <w:tcW w:w="917"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0,0000</w:t>
            </w:r>
          </w:p>
        </w:tc>
        <w:tc>
          <w:tcPr>
            <w:tcW w:w="1310"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40.142,36</w:t>
            </w:r>
          </w:p>
        </w:tc>
        <w:tc>
          <w:tcPr>
            <w:tcW w:w="917"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w:t>
            </w:r>
          </w:p>
        </w:tc>
      </w:tr>
      <w:tr w:rsidR="00AF3B34" w:rsidTr="00AF3B34">
        <w:trPr>
          <w:trHeight w:val="41"/>
          <w:jc w:val="center"/>
        </w:trPr>
        <w:tc>
          <w:tcPr>
            <w:tcW w:w="2439" w:type="dxa"/>
            <w:gridSpan w:val="2"/>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w:t>
            </w:r>
          </w:p>
        </w:tc>
        <w:tc>
          <w:tcPr>
            <w:tcW w:w="1123"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828.498,40</w:t>
            </w:r>
          </w:p>
        </w:tc>
        <w:tc>
          <w:tcPr>
            <w:tcW w:w="1421"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12.710.820,00</w:t>
            </w:r>
          </w:p>
        </w:tc>
        <w:tc>
          <w:tcPr>
            <w:tcW w:w="1642"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873.614.658,600</w:t>
            </w:r>
          </w:p>
        </w:tc>
        <w:tc>
          <w:tcPr>
            <w:tcW w:w="917"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0,0009</w:t>
            </w:r>
          </w:p>
        </w:tc>
        <w:tc>
          <w:tcPr>
            <w:tcW w:w="1141"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898.092,27</w:t>
            </w:r>
          </w:p>
        </w:tc>
        <w:tc>
          <w:tcPr>
            <w:tcW w:w="917"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0,0010</w:t>
            </w:r>
          </w:p>
        </w:tc>
        <w:tc>
          <w:tcPr>
            <w:tcW w:w="1141"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973.532,02</w:t>
            </w:r>
          </w:p>
        </w:tc>
        <w:tc>
          <w:tcPr>
            <w:tcW w:w="917"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0,0011</w:t>
            </w:r>
          </w:p>
        </w:tc>
        <w:tc>
          <w:tcPr>
            <w:tcW w:w="1310"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1.055.308,71</w:t>
            </w:r>
          </w:p>
        </w:tc>
        <w:tc>
          <w:tcPr>
            <w:tcW w:w="917"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0,0012</w:t>
            </w:r>
          </w:p>
        </w:tc>
      </w:tr>
      <w:tr w:rsidR="00AF3B34" w:rsidTr="00AF3B34">
        <w:trPr>
          <w:trHeight w:val="379"/>
          <w:jc w:val="center"/>
        </w:trPr>
        <w:tc>
          <w:tcPr>
            <w:tcW w:w="13884" w:type="dxa"/>
            <w:gridSpan w:val="12"/>
            <w:tcBorders>
              <w:top w:val="single" w:sz="4" w:space="0" w:color="auto"/>
              <w:left w:val="nil"/>
              <w:bottom w:val="nil"/>
              <w:right w:val="nil"/>
            </w:tcBorders>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Fonte: Agência das Bacias PCJ - Banco de Dados da Cobrança Paulista PCJ</w:t>
            </w:r>
          </w:p>
        </w:tc>
      </w:tr>
      <w:tr w:rsidR="00AF3B34" w:rsidTr="00AF3B34">
        <w:trPr>
          <w:trHeight w:val="246"/>
          <w:jc w:val="center"/>
        </w:trPr>
        <w:tc>
          <w:tcPr>
            <w:tcW w:w="808" w:type="dxa"/>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Notas:</w:t>
            </w:r>
          </w:p>
        </w:tc>
        <w:tc>
          <w:tcPr>
            <w:tcW w:w="1631" w:type="dxa"/>
            <w:noWrap/>
            <w:vAlign w:val="bottom"/>
            <w:hideMark/>
          </w:tcPr>
          <w:p w:rsidR="00AF3B34" w:rsidRDefault="00AF3B34">
            <w:pPr>
              <w:spacing w:after="0"/>
              <w:jc w:val="both"/>
              <w:rPr>
                <w:rFonts w:cs="Times New Roman"/>
              </w:rPr>
            </w:pPr>
          </w:p>
        </w:tc>
        <w:tc>
          <w:tcPr>
            <w:tcW w:w="1123" w:type="dxa"/>
            <w:noWrap/>
            <w:vAlign w:val="bottom"/>
            <w:hideMark/>
          </w:tcPr>
          <w:p w:rsidR="00AF3B34" w:rsidRDefault="00AF3B34">
            <w:pPr>
              <w:spacing w:after="0"/>
              <w:jc w:val="both"/>
              <w:rPr>
                <w:rFonts w:cs="Times New Roman"/>
              </w:rPr>
            </w:pPr>
          </w:p>
        </w:tc>
        <w:tc>
          <w:tcPr>
            <w:tcW w:w="1421" w:type="dxa"/>
            <w:noWrap/>
            <w:vAlign w:val="bottom"/>
            <w:hideMark/>
          </w:tcPr>
          <w:p w:rsidR="00AF3B34" w:rsidRDefault="00AF3B34">
            <w:pPr>
              <w:spacing w:after="0"/>
              <w:jc w:val="both"/>
              <w:rPr>
                <w:rFonts w:cs="Times New Roman"/>
              </w:rPr>
            </w:pPr>
          </w:p>
        </w:tc>
        <w:tc>
          <w:tcPr>
            <w:tcW w:w="1642" w:type="dxa"/>
            <w:noWrap/>
            <w:vAlign w:val="bottom"/>
            <w:hideMark/>
          </w:tcPr>
          <w:p w:rsidR="00AF3B34" w:rsidRDefault="00AF3B34">
            <w:pPr>
              <w:spacing w:after="0"/>
              <w:jc w:val="both"/>
              <w:rPr>
                <w:rFonts w:cs="Times New Roman"/>
              </w:rPr>
            </w:pPr>
          </w:p>
        </w:tc>
        <w:tc>
          <w:tcPr>
            <w:tcW w:w="917" w:type="dxa"/>
            <w:noWrap/>
            <w:vAlign w:val="bottom"/>
            <w:hideMark/>
          </w:tcPr>
          <w:p w:rsidR="00AF3B34" w:rsidRDefault="00AF3B34">
            <w:pPr>
              <w:spacing w:after="0"/>
              <w:jc w:val="both"/>
              <w:rPr>
                <w:rFonts w:cs="Times New Roman"/>
              </w:rPr>
            </w:pPr>
          </w:p>
        </w:tc>
        <w:tc>
          <w:tcPr>
            <w:tcW w:w="1141" w:type="dxa"/>
            <w:noWrap/>
            <w:vAlign w:val="bottom"/>
            <w:hideMark/>
          </w:tcPr>
          <w:p w:rsidR="00AF3B34" w:rsidRDefault="00AF3B34">
            <w:pPr>
              <w:spacing w:after="0"/>
              <w:jc w:val="both"/>
              <w:rPr>
                <w:rFonts w:cs="Times New Roman"/>
              </w:rPr>
            </w:pPr>
          </w:p>
        </w:tc>
        <w:tc>
          <w:tcPr>
            <w:tcW w:w="917" w:type="dxa"/>
            <w:noWrap/>
            <w:vAlign w:val="bottom"/>
            <w:hideMark/>
          </w:tcPr>
          <w:p w:rsidR="00AF3B34" w:rsidRDefault="00AF3B34">
            <w:pPr>
              <w:spacing w:after="0"/>
              <w:jc w:val="both"/>
              <w:rPr>
                <w:rFonts w:cs="Times New Roman"/>
              </w:rPr>
            </w:pPr>
          </w:p>
        </w:tc>
        <w:tc>
          <w:tcPr>
            <w:tcW w:w="1141" w:type="dxa"/>
            <w:noWrap/>
            <w:vAlign w:val="bottom"/>
            <w:hideMark/>
          </w:tcPr>
          <w:p w:rsidR="00AF3B34" w:rsidRDefault="00AF3B34">
            <w:pPr>
              <w:spacing w:after="0"/>
              <w:jc w:val="both"/>
              <w:rPr>
                <w:rFonts w:cs="Times New Roman"/>
              </w:rPr>
            </w:pPr>
          </w:p>
        </w:tc>
        <w:tc>
          <w:tcPr>
            <w:tcW w:w="917" w:type="dxa"/>
            <w:noWrap/>
            <w:vAlign w:val="bottom"/>
            <w:hideMark/>
          </w:tcPr>
          <w:p w:rsidR="00AF3B34" w:rsidRDefault="00AF3B34">
            <w:pPr>
              <w:spacing w:after="0"/>
              <w:jc w:val="both"/>
              <w:rPr>
                <w:rFonts w:cs="Times New Roman"/>
              </w:rPr>
            </w:pPr>
          </w:p>
        </w:tc>
        <w:tc>
          <w:tcPr>
            <w:tcW w:w="1310" w:type="dxa"/>
            <w:noWrap/>
            <w:vAlign w:val="bottom"/>
            <w:hideMark/>
          </w:tcPr>
          <w:p w:rsidR="00AF3B34" w:rsidRDefault="00AF3B34">
            <w:pPr>
              <w:spacing w:after="0"/>
              <w:jc w:val="both"/>
              <w:rPr>
                <w:rFonts w:cs="Times New Roman"/>
              </w:rPr>
            </w:pPr>
          </w:p>
        </w:tc>
        <w:tc>
          <w:tcPr>
            <w:tcW w:w="917" w:type="dxa"/>
            <w:noWrap/>
            <w:vAlign w:val="bottom"/>
            <w:hideMark/>
          </w:tcPr>
          <w:p w:rsidR="00AF3B34" w:rsidRDefault="00AF3B34">
            <w:pPr>
              <w:spacing w:after="0"/>
              <w:jc w:val="both"/>
              <w:rPr>
                <w:rFonts w:cs="Times New Roman"/>
              </w:rPr>
            </w:pPr>
          </w:p>
        </w:tc>
      </w:tr>
      <w:tr w:rsidR="00AF3B34" w:rsidTr="00AF3B34">
        <w:trPr>
          <w:trHeight w:val="227"/>
          <w:jc w:val="center"/>
        </w:trPr>
        <w:tc>
          <w:tcPr>
            <w:tcW w:w="13884" w:type="dxa"/>
            <w:gridSpan w:val="12"/>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(A) Grande parte da água captada é usada para geração de eletricidade.</w:t>
            </w:r>
          </w:p>
        </w:tc>
      </w:tr>
      <w:tr w:rsidR="00AF3B34" w:rsidTr="00AF3B34">
        <w:trPr>
          <w:trHeight w:val="227"/>
          <w:jc w:val="center"/>
        </w:trPr>
        <w:tc>
          <w:tcPr>
            <w:tcW w:w="13884" w:type="dxa"/>
            <w:gridSpan w:val="12"/>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lastRenderedPageBreak/>
              <w:t>(1) Valores obtidos do Anuário da Cana 2013, publicado por Procana Brasil (www.procana.com.br)</w:t>
            </w:r>
          </w:p>
        </w:tc>
      </w:tr>
      <w:tr w:rsidR="00AF3B34" w:rsidTr="00AF3B34">
        <w:trPr>
          <w:trHeight w:val="227"/>
          <w:jc w:val="center"/>
        </w:trPr>
        <w:tc>
          <w:tcPr>
            <w:tcW w:w="13884" w:type="dxa"/>
            <w:gridSpan w:val="12"/>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(2) Valor obtido pela multiplicação da quantidade de cana moída pelo custo médio operacional (R$ 68,73) - obtido através do Projeto PECEGE/ ESALQ / USP</w:t>
            </w:r>
          </w:p>
        </w:tc>
      </w:tr>
      <w:tr w:rsidR="00AF3B34" w:rsidTr="00AF3B34">
        <w:trPr>
          <w:trHeight w:val="227"/>
          <w:jc w:val="center"/>
        </w:trPr>
        <w:tc>
          <w:tcPr>
            <w:tcW w:w="13884" w:type="dxa"/>
            <w:gridSpan w:val="12"/>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(3) Obtido através da Divisão do Total Anual cobrança  2013 pelo Custo Operacional médio (2013)</w:t>
            </w:r>
          </w:p>
        </w:tc>
      </w:tr>
      <w:tr w:rsidR="00AF3B34" w:rsidTr="00AF3B34">
        <w:trPr>
          <w:trHeight w:val="227"/>
          <w:jc w:val="center"/>
        </w:trPr>
        <w:tc>
          <w:tcPr>
            <w:tcW w:w="13884" w:type="dxa"/>
            <w:gridSpan w:val="12"/>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(4) Valores reajustados em 8,4%, em relação à mesma situação cadastral de 2013</w:t>
            </w:r>
          </w:p>
        </w:tc>
      </w:tr>
      <w:tr w:rsidR="00AF3B34" w:rsidTr="00AF3B34">
        <w:trPr>
          <w:trHeight w:val="227"/>
          <w:jc w:val="center"/>
        </w:trPr>
        <w:tc>
          <w:tcPr>
            <w:tcW w:w="13884" w:type="dxa"/>
            <w:gridSpan w:val="12"/>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(5) Obtido através da Divisão do Total Anual cobrança  2014 pelo Custo Operacional médio (2013)</w:t>
            </w:r>
          </w:p>
        </w:tc>
      </w:tr>
      <w:tr w:rsidR="00AF3B34" w:rsidTr="00AF3B34">
        <w:trPr>
          <w:trHeight w:val="227"/>
          <w:jc w:val="center"/>
        </w:trPr>
        <w:tc>
          <w:tcPr>
            <w:tcW w:w="13884" w:type="dxa"/>
            <w:gridSpan w:val="12"/>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(6) Valores reajustados em 8,4%, em relação à mesma situação cadastral de 2014</w:t>
            </w:r>
          </w:p>
        </w:tc>
      </w:tr>
      <w:tr w:rsidR="00AF3B34" w:rsidTr="00AF3B34">
        <w:trPr>
          <w:trHeight w:hRule="exact" w:val="227"/>
          <w:jc w:val="center"/>
        </w:trPr>
        <w:tc>
          <w:tcPr>
            <w:tcW w:w="8683" w:type="dxa"/>
            <w:gridSpan w:val="7"/>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(7) Obtido através da Divisão do Total Anual cobrança  2015 pelo Custo Operacional médio (2013)</w:t>
            </w:r>
          </w:p>
        </w:tc>
        <w:tc>
          <w:tcPr>
            <w:tcW w:w="917" w:type="dxa"/>
            <w:noWrap/>
            <w:vAlign w:val="bottom"/>
            <w:hideMark/>
          </w:tcPr>
          <w:p w:rsidR="00AF3B34" w:rsidRDefault="00AF3B34">
            <w:pPr>
              <w:spacing w:after="0"/>
              <w:jc w:val="both"/>
              <w:rPr>
                <w:rFonts w:cs="Times New Roman"/>
              </w:rPr>
            </w:pPr>
          </w:p>
        </w:tc>
        <w:tc>
          <w:tcPr>
            <w:tcW w:w="1141" w:type="dxa"/>
            <w:noWrap/>
            <w:vAlign w:val="bottom"/>
            <w:hideMark/>
          </w:tcPr>
          <w:p w:rsidR="00AF3B34" w:rsidRDefault="00AF3B34">
            <w:pPr>
              <w:spacing w:after="0"/>
              <w:jc w:val="both"/>
              <w:rPr>
                <w:rFonts w:cs="Times New Roman"/>
              </w:rPr>
            </w:pPr>
          </w:p>
        </w:tc>
        <w:tc>
          <w:tcPr>
            <w:tcW w:w="917" w:type="dxa"/>
            <w:noWrap/>
            <w:vAlign w:val="bottom"/>
            <w:hideMark/>
          </w:tcPr>
          <w:p w:rsidR="00AF3B34" w:rsidRDefault="00AF3B34">
            <w:pPr>
              <w:spacing w:after="0"/>
              <w:jc w:val="both"/>
              <w:rPr>
                <w:rFonts w:cs="Times New Roman"/>
              </w:rPr>
            </w:pPr>
          </w:p>
        </w:tc>
        <w:tc>
          <w:tcPr>
            <w:tcW w:w="1310" w:type="dxa"/>
            <w:noWrap/>
            <w:vAlign w:val="bottom"/>
            <w:hideMark/>
          </w:tcPr>
          <w:p w:rsidR="00AF3B34" w:rsidRDefault="00AF3B34">
            <w:pPr>
              <w:spacing w:after="0"/>
              <w:jc w:val="both"/>
              <w:rPr>
                <w:rFonts w:cs="Times New Roman"/>
              </w:rPr>
            </w:pPr>
          </w:p>
        </w:tc>
        <w:tc>
          <w:tcPr>
            <w:tcW w:w="917" w:type="dxa"/>
            <w:noWrap/>
            <w:vAlign w:val="bottom"/>
            <w:hideMark/>
          </w:tcPr>
          <w:p w:rsidR="00AF3B34" w:rsidRDefault="00AF3B34">
            <w:pPr>
              <w:spacing w:after="0"/>
              <w:jc w:val="both"/>
              <w:rPr>
                <w:rFonts w:cs="Times New Roman"/>
              </w:rPr>
            </w:pPr>
          </w:p>
        </w:tc>
      </w:tr>
      <w:tr w:rsidR="00AF3B34" w:rsidTr="00AF3B34">
        <w:trPr>
          <w:trHeight w:val="227"/>
          <w:jc w:val="center"/>
        </w:trPr>
        <w:tc>
          <w:tcPr>
            <w:tcW w:w="13884" w:type="dxa"/>
            <w:gridSpan w:val="12"/>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(8) Valores reajustados em 8,4%, em relação à mesma situação cadastral de 2015</w:t>
            </w:r>
          </w:p>
        </w:tc>
      </w:tr>
      <w:tr w:rsidR="00AF3B34" w:rsidTr="00AF3B34">
        <w:trPr>
          <w:trHeight w:hRule="exact" w:val="227"/>
          <w:jc w:val="center"/>
        </w:trPr>
        <w:tc>
          <w:tcPr>
            <w:tcW w:w="8683" w:type="dxa"/>
            <w:gridSpan w:val="7"/>
            <w:noWrap/>
            <w:vAlign w:val="bottom"/>
            <w:hideMark/>
          </w:tcPr>
          <w:p w:rsidR="00AF3B34" w:rsidRDefault="00AF3B34">
            <w:pPr>
              <w:spacing w:after="120"/>
              <w:rPr>
                <w:rFonts w:ascii="Times New Roman" w:eastAsia="Times New Roman" w:hAnsi="Times New Roman"/>
                <w:color w:val="000000"/>
                <w:sz w:val="20"/>
                <w:szCs w:val="20"/>
                <w:lang w:eastAsia="pt-BR"/>
              </w:rPr>
            </w:pPr>
            <w:r>
              <w:rPr>
                <w:rFonts w:ascii="Times New Roman" w:eastAsia="Times New Roman" w:hAnsi="Times New Roman"/>
                <w:color w:val="000000"/>
                <w:sz w:val="20"/>
                <w:szCs w:val="20"/>
                <w:lang w:eastAsia="pt-BR"/>
              </w:rPr>
              <w:t>(9) Obtido através da Divisão do Total Anual cobrança  2015 pelo Custo Operacional médio (2013)</w:t>
            </w:r>
          </w:p>
        </w:tc>
        <w:tc>
          <w:tcPr>
            <w:tcW w:w="917" w:type="dxa"/>
            <w:noWrap/>
            <w:vAlign w:val="bottom"/>
            <w:hideMark/>
          </w:tcPr>
          <w:p w:rsidR="00AF3B34" w:rsidRDefault="00AF3B34">
            <w:pPr>
              <w:spacing w:after="0"/>
              <w:jc w:val="both"/>
              <w:rPr>
                <w:rFonts w:cs="Times New Roman"/>
              </w:rPr>
            </w:pPr>
          </w:p>
        </w:tc>
        <w:tc>
          <w:tcPr>
            <w:tcW w:w="1141" w:type="dxa"/>
            <w:noWrap/>
            <w:vAlign w:val="bottom"/>
            <w:hideMark/>
          </w:tcPr>
          <w:p w:rsidR="00AF3B34" w:rsidRDefault="00AF3B34">
            <w:pPr>
              <w:spacing w:after="0"/>
              <w:jc w:val="both"/>
              <w:rPr>
                <w:rFonts w:cs="Times New Roman"/>
              </w:rPr>
            </w:pPr>
          </w:p>
        </w:tc>
        <w:tc>
          <w:tcPr>
            <w:tcW w:w="917" w:type="dxa"/>
            <w:noWrap/>
            <w:vAlign w:val="bottom"/>
            <w:hideMark/>
          </w:tcPr>
          <w:p w:rsidR="00AF3B34" w:rsidRDefault="00AF3B34">
            <w:pPr>
              <w:spacing w:after="0"/>
              <w:jc w:val="both"/>
              <w:rPr>
                <w:rFonts w:cs="Times New Roman"/>
              </w:rPr>
            </w:pPr>
          </w:p>
        </w:tc>
        <w:tc>
          <w:tcPr>
            <w:tcW w:w="1310" w:type="dxa"/>
            <w:noWrap/>
            <w:vAlign w:val="bottom"/>
            <w:hideMark/>
          </w:tcPr>
          <w:p w:rsidR="00AF3B34" w:rsidRDefault="00AF3B34">
            <w:pPr>
              <w:spacing w:after="0"/>
              <w:jc w:val="both"/>
              <w:rPr>
                <w:rFonts w:cs="Times New Roman"/>
              </w:rPr>
            </w:pPr>
          </w:p>
        </w:tc>
        <w:tc>
          <w:tcPr>
            <w:tcW w:w="917" w:type="dxa"/>
            <w:noWrap/>
            <w:vAlign w:val="bottom"/>
            <w:hideMark/>
          </w:tcPr>
          <w:p w:rsidR="00AF3B34" w:rsidRDefault="00AF3B34">
            <w:pPr>
              <w:spacing w:after="0"/>
              <w:jc w:val="both"/>
              <w:rPr>
                <w:rFonts w:cs="Times New Roman"/>
              </w:rPr>
            </w:pPr>
          </w:p>
        </w:tc>
      </w:tr>
    </w:tbl>
    <w:p w:rsidR="00AF3B34" w:rsidRDefault="00AF3B34" w:rsidP="00AF3B34">
      <w:pPr>
        <w:spacing w:after="0" w:line="360" w:lineRule="auto"/>
        <w:rPr>
          <w:rFonts w:ascii="Times New Roman" w:eastAsia="Calibri" w:hAnsi="Times New Roman" w:cs="Times New Roman"/>
          <w:b/>
          <w:sz w:val="24"/>
          <w:szCs w:val="24"/>
        </w:rPr>
        <w:sectPr w:rsidR="00AF3B34">
          <w:pgSz w:w="16838" w:h="11906" w:orient="landscape"/>
          <w:pgMar w:top="1134" w:right="1950" w:bottom="851" w:left="567" w:header="425" w:footer="709" w:gutter="0"/>
          <w:cols w:space="720"/>
        </w:sectPr>
      </w:pPr>
    </w:p>
    <w:p w:rsidR="00AF3B34" w:rsidRDefault="00AF3B34" w:rsidP="00AF3B34">
      <w:pPr>
        <w:pStyle w:val="PargrafodaLista"/>
        <w:ind w:left="0" w:right="0"/>
        <w:rPr>
          <w:rFonts w:ascii="Times New Roman" w:hAnsi="Times New Roman"/>
          <w:sz w:val="24"/>
          <w:szCs w:val="24"/>
        </w:rPr>
      </w:pPr>
      <w:r>
        <w:rPr>
          <w:rFonts w:ascii="Times New Roman" w:hAnsi="Times New Roman"/>
          <w:b/>
          <w:sz w:val="24"/>
          <w:szCs w:val="24"/>
        </w:rPr>
        <w:lastRenderedPageBreak/>
        <w:t>Cálculo dos Impactos sobre as atividades do setor Industrial (Sucroalcooleiro) através do CUSTO DE PRODUÇÃO MÉDIO DO AÇUCAR E DO ALCOOL (safra 2012-2013)</w:t>
      </w:r>
      <w:r>
        <w:rPr>
          <w:rFonts w:ascii="Times New Roman" w:hAnsi="Times New Roman"/>
          <w:sz w:val="24"/>
          <w:szCs w:val="24"/>
        </w:rPr>
        <w:t>.</w:t>
      </w:r>
    </w:p>
    <w:p w:rsidR="00AF3B34" w:rsidRDefault="00AF3B34" w:rsidP="00AF3B34">
      <w:pPr>
        <w:pStyle w:val="PargrafodaLista"/>
        <w:spacing w:line="240" w:lineRule="auto"/>
        <w:ind w:left="0"/>
        <w:rPr>
          <w:rFonts w:ascii="Times New Roman" w:hAnsi="Times New Roman"/>
          <w:sz w:val="24"/>
          <w:szCs w:val="24"/>
        </w:rPr>
      </w:pPr>
      <w:r>
        <w:rPr>
          <w:rFonts w:ascii="Times New Roman" w:hAnsi="Times New Roman"/>
          <w:sz w:val="24"/>
          <w:szCs w:val="24"/>
        </w:rPr>
        <w:t>Para esta metodologia, foram utilizadas informações referentes às quantidades de Açúcar VHP e Etanol Anidro e Hidratado produzidas para uma parte dos 8 usuários pagantes da cobrança pelo usos dos recursos hídricos em rios de domínio do Estado de São Paulo, em rios de domínio da União não existem usuários deste setor, que dispunham de informações no Anuário da Cana 2013, publicado por Procana Brasil (www.procana.com.br). Foi utilizado também informações obtidas através do Portal de Informações Sucroenergéticas do PECEGE (www.pecege.esalq.usp.br/portal) referentes aos Custos de Contribuição de Açúcar na safra de 2012-2013 para a região Centro Sul Tradicional (CS Tradicional) cujo valor para a safra 2012-2013 foi de R$ 749,57/t, para o açúcar VHP. Para o Etanol Anidro foi de R$ 1.173,63/ m3 e para o Etanol Hidratado foi de R$ 1.102,15/m3,  além das informações sobre os valores efetivamente pagos por estes usuários na cobrança paulista. Na tabela abaixo podemos verificar os dados obtidos e o impacto causado, que em nosso entendimento é muito pequeno frente aos demais insumos.</w:t>
      </w:r>
    </w:p>
    <w:tbl>
      <w:tblPr>
        <w:tblW w:w="5000" w:type="pct"/>
        <w:tblCellMar>
          <w:left w:w="70" w:type="dxa"/>
          <w:right w:w="70" w:type="dxa"/>
        </w:tblCellMar>
        <w:tblLook w:val="04A0"/>
      </w:tblPr>
      <w:tblGrid>
        <w:gridCol w:w="1234"/>
        <w:gridCol w:w="2173"/>
        <w:gridCol w:w="2553"/>
        <w:gridCol w:w="2364"/>
        <w:gridCol w:w="3379"/>
        <w:gridCol w:w="2191"/>
      </w:tblGrid>
      <w:tr w:rsidR="00AF3B34" w:rsidTr="00AF3B34">
        <w:trPr>
          <w:trHeight w:val="840"/>
        </w:trPr>
        <w:tc>
          <w:tcPr>
            <w:tcW w:w="5000" w:type="pct"/>
            <w:gridSpan w:val="6"/>
            <w:noWrap/>
            <w:vAlign w:val="bottom"/>
          </w:tcPr>
          <w:p w:rsidR="00AF3B34" w:rsidRDefault="00AF3B34"/>
          <w:p w:rsidR="00AF3B34" w:rsidRDefault="00AF3B34"/>
          <w:p w:rsidR="00AF3B34" w:rsidRDefault="00AF3B34"/>
          <w:p w:rsidR="00AF3B34" w:rsidRDefault="00AF3B34"/>
          <w:p w:rsidR="00AF3B34" w:rsidRDefault="00AF3B34"/>
          <w:p w:rsidR="00AF3B34" w:rsidRDefault="00AF3B34"/>
          <w:p w:rsidR="00AF3B34" w:rsidRDefault="00AF3B34"/>
          <w:p w:rsidR="00AF3B34" w:rsidRDefault="00AF3B34"/>
          <w:p w:rsidR="00AF3B34" w:rsidRDefault="00AF3B34"/>
          <w:p w:rsidR="00AF3B34" w:rsidRDefault="00AF3B34"/>
          <w:p w:rsidR="00AF3B34" w:rsidRDefault="00AF3B34"/>
          <w:p w:rsidR="00AF3B34" w:rsidRDefault="00AF3B34"/>
          <w:p w:rsidR="00AF3B34" w:rsidRDefault="00AF3B34"/>
          <w:tbl>
            <w:tblPr>
              <w:tblW w:w="13892" w:type="dxa"/>
              <w:tblCellSpacing w:w="0" w:type="dxa"/>
              <w:tblCellMar>
                <w:left w:w="0" w:type="dxa"/>
                <w:right w:w="0" w:type="dxa"/>
              </w:tblCellMar>
              <w:tblLook w:val="04A0"/>
            </w:tblPr>
            <w:tblGrid>
              <w:gridCol w:w="13892"/>
            </w:tblGrid>
            <w:tr w:rsidR="00AF3B34">
              <w:trPr>
                <w:trHeight w:val="840"/>
                <w:tblCellSpacing w:w="0" w:type="dxa"/>
              </w:trPr>
              <w:tc>
                <w:tcPr>
                  <w:tcW w:w="13892" w:type="dxa"/>
                  <w:tcBorders>
                    <w:top w:val="nil"/>
                    <w:left w:val="nil"/>
                    <w:bottom w:val="single" w:sz="12" w:space="0" w:color="auto"/>
                    <w:right w:val="nil"/>
                  </w:tcBorders>
                  <w:vAlign w:val="center"/>
                  <w:hideMark/>
                </w:tcPr>
                <w:p w:rsidR="00AF3B34" w:rsidRDefault="00AF3B34">
                  <w:pPr>
                    <w:spacing w:after="120"/>
                    <w:jc w:val="both"/>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Cobrança Paulista, Usuários do setor de Açúcar e Álcool - Impacto no Custo Operacional da Cana de Açúcar (safra 2012-2013)</w:t>
                  </w:r>
                </w:p>
              </w:tc>
            </w:tr>
          </w:tbl>
          <w:p w:rsidR="00AF3B34" w:rsidRDefault="00AF3B34">
            <w:pPr>
              <w:spacing w:after="0"/>
              <w:jc w:val="both"/>
              <w:rPr>
                <w:rFonts w:cs="Times New Roman"/>
              </w:rPr>
            </w:pPr>
          </w:p>
        </w:tc>
      </w:tr>
      <w:tr w:rsidR="00AF3B34" w:rsidTr="00AF3B34">
        <w:trPr>
          <w:trHeight w:val="938"/>
        </w:trPr>
        <w:tc>
          <w:tcPr>
            <w:tcW w:w="442" w:type="pct"/>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lastRenderedPageBreak/>
              <w:t>Ordem</w:t>
            </w:r>
          </w:p>
        </w:tc>
        <w:tc>
          <w:tcPr>
            <w:tcW w:w="782" w:type="pct"/>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Usuário</w:t>
            </w:r>
          </w:p>
        </w:tc>
        <w:tc>
          <w:tcPr>
            <w:tcW w:w="919" w:type="pct"/>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 Anual Cobrança 2013         (R$)</w:t>
            </w:r>
          </w:p>
        </w:tc>
        <w:tc>
          <w:tcPr>
            <w:tcW w:w="851" w:type="pct"/>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PRODUÇÃO DE AÇÚCAR (t)(1)</w:t>
            </w:r>
          </w:p>
        </w:tc>
        <w:tc>
          <w:tcPr>
            <w:tcW w:w="1218" w:type="pct"/>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CUSTO OPERACIONAL MÉDIO AÇUCAR (R$/safra)(2)</w:t>
            </w:r>
          </w:p>
        </w:tc>
        <w:tc>
          <w:tcPr>
            <w:tcW w:w="788" w:type="pct"/>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IMPACTO MÉDIO 2013  (%) (3)</w:t>
            </w:r>
          </w:p>
        </w:tc>
      </w:tr>
      <w:tr w:rsidR="00AF3B34" w:rsidTr="00AF3B34">
        <w:trPr>
          <w:trHeight w:val="315"/>
        </w:trPr>
        <w:tc>
          <w:tcPr>
            <w:tcW w:w="442" w:type="pct"/>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1</w:t>
            </w:r>
          </w:p>
        </w:tc>
        <w:tc>
          <w:tcPr>
            <w:tcW w:w="782" w:type="pct"/>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A</w:t>
            </w:r>
          </w:p>
        </w:tc>
        <w:tc>
          <w:tcPr>
            <w:tcW w:w="919" w:type="pct"/>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39.947,61</w:t>
            </w:r>
          </w:p>
        </w:tc>
        <w:tc>
          <w:tcPr>
            <w:tcW w:w="851" w:type="pct"/>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218" w:type="pct"/>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788" w:type="pct"/>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300"/>
        </w:trPr>
        <w:tc>
          <w:tcPr>
            <w:tcW w:w="44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2</w:t>
            </w:r>
          </w:p>
        </w:tc>
        <w:tc>
          <w:tcPr>
            <w:tcW w:w="78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B</w:t>
            </w:r>
          </w:p>
        </w:tc>
        <w:tc>
          <w:tcPr>
            <w:tcW w:w="919"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56.968,53</w:t>
            </w:r>
          </w:p>
        </w:tc>
        <w:tc>
          <w:tcPr>
            <w:tcW w:w="851"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21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78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300"/>
        </w:trPr>
        <w:tc>
          <w:tcPr>
            <w:tcW w:w="44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3</w:t>
            </w:r>
          </w:p>
        </w:tc>
        <w:tc>
          <w:tcPr>
            <w:tcW w:w="78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C</w:t>
            </w:r>
          </w:p>
        </w:tc>
        <w:tc>
          <w:tcPr>
            <w:tcW w:w="919"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72.982,66</w:t>
            </w:r>
          </w:p>
        </w:tc>
        <w:tc>
          <w:tcPr>
            <w:tcW w:w="851"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21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78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300"/>
        </w:trPr>
        <w:tc>
          <w:tcPr>
            <w:tcW w:w="44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4</w:t>
            </w:r>
          </w:p>
        </w:tc>
        <w:tc>
          <w:tcPr>
            <w:tcW w:w="78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D</w:t>
            </w:r>
          </w:p>
        </w:tc>
        <w:tc>
          <w:tcPr>
            <w:tcW w:w="919"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118.472,20</w:t>
            </w:r>
          </w:p>
        </w:tc>
        <w:tc>
          <w:tcPr>
            <w:tcW w:w="851"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21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78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300"/>
        </w:trPr>
        <w:tc>
          <w:tcPr>
            <w:tcW w:w="44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5</w:t>
            </w:r>
          </w:p>
        </w:tc>
        <w:tc>
          <w:tcPr>
            <w:tcW w:w="78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E</w:t>
            </w:r>
          </w:p>
        </w:tc>
        <w:tc>
          <w:tcPr>
            <w:tcW w:w="919"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166.650,24</w:t>
            </w:r>
          </w:p>
        </w:tc>
        <w:tc>
          <w:tcPr>
            <w:tcW w:w="851"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194.857,35</w:t>
            </w:r>
          </w:p>
        </w:tc>
        <w:tc>
          <w:tcPr>
            <w:tcW w:w="121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146.059.223,84</w:t>
            </w:r>
          </w:p>
        </w:tc>
        <w:tc>
          <w:tcPr>
            <w:tcW w:w="78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0,0011</w:t>
            </w:r>
          </w:p>
        </w:tc>
      </w:tr>
      <w:tr w:rsidR="00AF3B34" w:rsidTr="00AF3B34">
        <w:trPr>
          <w:trHeight w:val="345"/>
        </w:trPr>
        <w:tc>
          <w:tcPr>
            <w:tcW w:w="44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6</w:t>
            </w:r>
          </w:p>
        </w:tc>
        <w:tc>
          <w:tcPr>
            <w:tcW w:w="78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F (A)</w:t>
            </w:r>
          </w:p>
        </w:tc>
        <w:tc>
          <w:tcPr>
            <w:tcW w:w="919"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319.655,52</w:t>
            </w:r>
          </w:p>
        </w:tc>
        <w:tc>
          <w:tcPr>
            <w:tcW w:w="851"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101.035,00</w:t>
            </w:r>
          </w:p>
        </w:tc>
        <w:tc>
          <w:tcPr>
            <w:tcW w:w="121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75.732.804,95</w:t>
            </w:r>
          </w:p>
        </w:tc>
        <w:tc>
          <w:tcPr>
            <w:tcW w:w="78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0,0042</w:t>
            </w:r>
          </w:p>
        </w:tc>
      </w:tr>
      <w:tr w:rsidR="00AF3B34" w:rsidTr="00AF3B34">
        <w:trPr>
          <w:trHeight w:val="300"/>
        </w:trPr>
        <w:tc>
          <w:tcPr>
            <w:tcW w:w="44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7</w:t>
            </w:r>
          </w:p>
        </w:tc>
        <w:tc>
          <w:tcPr>
            <w:tcW w:w="782"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G</w:t>
            </w:r>
          </w:p>
        </w:tc>
        <w:tc>
          <w:tcPr>
            <w:tcW w:w="919"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22.306,80</w:t>
            </w:r>
          </w:p>
        </w:tc>
        <w:tc>
          <w:tcPr>
            <w:tcW w:w="851"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21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788" w:type="pct"/>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315"/>
        </w:trPr>
        <w:tc>
          <w:tcPr>
            <w:tcW w:w="442" w:type="pct"/>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8</w:t>
            </w:r>
          </w:p>
        </w:tc>
        <w:tc>
          <w:tcPr>
            <w:tcW w:w="782" w:type="pct"/>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H</w:t>
            </w:r>
          </w:p>
        </w:tc>
        <w:tc>
          <w:tcPr>
            <w:tcW w:w="919" w:type="pct"/>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31.514,84</w:t>
            </w:r>
          </w:p>
        </w:tc>
        <w:tc>
          <w:tcPr>
            <w:tcW w:w="851" w:type="pct"/>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218" w:type="pct"/>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788" w:type="pct"/>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70"/>
        </w:trPr>
        <w:tc>
          <w:tcPr>
            <w:tcW w:w="1224" w:type="pct"/>
            <w:gridSpan w:val="2"/>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w:t>
            </w:r>
          </w:p>
        </w:tc>
        <w:tc>
          <w:tcPr>
            <w:tcW w:w="919"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486.305,76</w:t>
            </w:r>
          </w:p>
        </w:tc>
        <w:tc>
          <w:tcPr>
            <w:tcW w:w="851"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295.892,35</w:t>
            </w:r>
          </w:p>
        </w:tc>
        <w:tc>
          <w:tcPr>
            <w:tcW w:w="1218"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221.792.028,79</w:t>
            </w:r>
          </w:p>
        </w:tc>
        <w:tc>
          <w:tcPr>
            <w:tcW w:w="788" w:type="pct"/>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0,0022</w:t>
            </w:r>
          </w:p>
        </w:tc>
      </w:tr>
      <w:tr w:rsidR="00AF3B34" w:rsidTr="00AF3B34">
        <w:trPr>
          <w:trHeight w:val="450"/>
        </w:trPr>
        <w:tc>
          <w:tcPr>
            <w:tcW w:w="5000" w:type="pct"/>
            <w:gridSpan w:val="6"/>
            <w:tcBorders>
              <w:top w:val="single" w:sz="4" w:space="0" w:color="auto"/>
              <w:left w:val="nil"/>
              <w:bottom w:val="nil"/>
              <w:right w:val="nil"/>
            </w:tcBorders>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Fonte: Agência das Bacias PCJ - Banco de Dados da Cobrança Paulista PCJ</w:t>
            </w:r>
          </w:p>
        </w:tc>
      </w:tr>
      <w:tr w:rsidR="00AF3B34" w:rsidTr="00AF3B34">
        <w:trPr>
          <w:trHeight w:val="540"/>
        </w:trPr>
        <w:tc>
          <w:tcPr>
            <w:tcW w:w="5000" w:type="pct"/>
            <w:gridSpan w:val="6"/>
            <w:noWrap/>
            <w:vAlign w:val="bottom"/>
            <w:hideMark/>
          </w:tcPr>
          <w:p w:rsidR="00AF3B34" w:rsidRDefault="00AF3B34">
            <w:pPr>
              <w:rPr>
                <w:rFonts w:ascii="Times New Roman" w:eastAsia="Times New Roman" w:hAnsi="Times New Roman"/>
                <w:color w:val="000000"/>
                <w:lang w:eastAsia="pt-BR"/>
              </w:rPr>
            </w:pPr>
            <w:r>
              <w:rPr>
                <w:rFonts w:ascii="Times New Roman" w:eastAsia="Times New Roman" w:hAnsi="Times New Roman"/>
                <w:color w:val="000000"/>
                <w:lang w:eastAsia="pt-BR"/>
              </w:rPr>
              <w:t>(A) Grande parte da água captada é usada para geração de Eletricidade.</w:t>
            </w:r>
          </w:p>
          <w:p w:rsidR="00AF3B34" w:rsidRDefault="00AF3B34">
            <w:pPr>
              <w:rPr>
                <w:rFonts w:ascii="Times New Roman" w:eastAsia="Times New Roman" w:hAnsi="Times New Roman"/>
                <w:color w:val="000000"/>
                <w:lang w:eastAsia="pt-BR"/>
              </w:rPr>
            </w:pPr>
            <w:r>
              <w:rPr>
                <w:rFonts w:ascii="Times New Roman" w:eastAsia="Times New Roman" w:hAnsi="Times New Roman"/>
                <w:color w:val="000000"/>
                <w:lang w:eastAsia="pt-BR"/>
              </w:rPr>
              <w:t>(1) Valores obtidos do Anuário da Cana 2013, publicado por Procana Brasil (www.procana.com.br)</w:t>
            </w:r>
          </w:p>
          <w:p w:rsidR="00AF3B34" w:rsidRDefault="00AF3B34">
            <w:pPr>
              <w:rPr>
                <w:rFonts w:ascii="Times New Roman" w:eastAsia="Times New Roman" w:hAnsi="Times New Roman"/>
                <w:color w:val="000000"/>
                <w:lang w:eastAsia="pt-BR"/>
              </w:rPr>
            </w:pPr>
            <w:r>
              <w:rPr>
                <w:rFonts w:ascii="Times New Roman" w:eastAsia="Times New Roman" w:hAnsi="Times New Roman"/>
                <w:color w:val="000000"/>
                <w:lang w:eastAsia="pt-BR"/>
              </w:rPr>
              <w:t>(2) Valor obtido pela multiplicação da quantidade de açúcar produzido, pelo custo de contribuição de açúcar (R$749,57) obtido através do Projeto PECEGE/ESALQ/USP.</w:t>
            </w:r>
          </w:p>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(3) Obtido através da divisão do total anual da cobrança 2013 pelo custo operacional médio (2013)</w:t>
            </w:r>
          </w:p>
        </w:tc>
      </w:tr>
      <w:tr w:rsidR="00AF3B34" w:rsidTr="00AF3B34">
        <w:trPr>
          <w:trHeight w:val="80"/>
        </w:trPr>
        <w:tc>
          <w:tcPr>
            <w:tcW w:w="5000" w:type="pct"/>
            <w:gridSpan w:val="6"/>
            <w:noWrap/>
            <w:vAlign w:val="bottom"/>
            <w:hideMark/>
          </w:tcPr>
          <w:p w:rsidR="00AF3B34" w:rsidRDefault="00AF3B34">
            <w:pPr>
              <w:spacing w:after="0"/>
              <w:jc w:val="both"/>
              <w:rPr>
                <w:rFonts w:cs="Times New Roman"/>
              </w:rPr>
            </w:pPr>
          </w:p>
        </w:tc>
      </w:tr>
    </w:tbl>
    <w:p w:rsidR="00AF3B34" w:rsidRDefault="00AF3B34" w:rsidP="00AF3B34">
      <w:pPr>
        <w:spacing w:after="0" w:line="360" w:lineRule="auto"/>
        <w:rPr>
          <w:rFonts w:ascii="Calibri" w:eastAsia="Calibri" w:hAnsi="Calibri" w:cs="Times New Roman"/>
          <w:lang w:eastAsia="pt-BR"/>
        </w:rPr>
        <w:sectPr w:rsidR="00AF3B34">
          <w:pgSz w:w="16838" w:h="11906" w:orient="landscape"/>
          <w:pgMar w:top="1418" w:right="1950" w:bottom="1134" w:left="1134" w:header="425" w:footer="709" w:gutter="0"/>
          <w:cols w:space="720"/>
        </w:sectPr>
      </w:pPr>
    </w:p>
    <w:tbl>
      <w:tblPr>
        <w:tblW w:w="9636" w:type="dxa"/>
        <w:tblInd w:w="70" w:type="dxa"/>
        <w:tblCellMar>
          <w:left w:w="70" w:type="dxa"/>
          <w:right w:w="70" w:type="dxa"/>
        </w:tblCellMar>
        <w:tblLook w:val="04A0"/>
      </w:tblPr>
      <w:tblGrid>
        <w:gridCol w:w="813"/>
        <w:gridCol w:w="46"/>
        <w:gridCol w:w="1635"/>
        <w:gridCol w:w="283"/>
        <w:gridCol w:w="1388"/>
        <w:gridCol w:w="291"/>
        <w:gridCol w:w="1445"/>
        <w:gridCol w:w="400"/>
        <w:gridCol w:w="1391"/>
        <w:gridCol w:w="552"/>
        <w:gridCol w:w="1162"/>
        <w:gridCol w:w="302"/>
      </w:tblGrid>
      <w:tr w:rsidR="00AF3B34" w:rsidTr="00AF3B34">
        <w:trPr>
          <w:gridAfter w:val="1"/>
          <w:wAfter w:w="302" w:type="dxa"/>
          <w:trHeight w:val="1140"/>
        </w:trPr>
        <w:tc>
          <w:tcPr>
            <w:tcW w:w="9334" w:type="dxa"/>
            <w:gridSpan w:val="11"/>
            <w:tcBorders>
              <w:top w:val="nil"/>
              <w:left w:val="nil"/>
              <w:bottom w:val="single" w:sz="4" w:space="0" w:color="auto"/>
              <w:right w:val="nil"/>
            </w:tcBorders>
            <w:vAlign w:val="center"/>
            <w:hideMark/>
          </w:tcPr>
          <w:p w:rsidR="00AF3B34" w:rsidRDefault="00AF3B34">
            <w:pPr>
              <w:spacing w:after="120"/>
              <w:rPr>
                <w:rFonts w:ascii="Times New Roman" w:eastAsia="Times New Roman" w:hAnsi="Times New Roman"/>
                <w:b/>
                <w:bCs/>
                <w:color w:val="000000"/>
                <w:lang w:eastAsia="pt-BR"/>
              </w:rPr>
            </w:pPr>
            <w:r>
              <w:rPr>
                <w:rFonts w:ascii="Times New Roman" w:eastAsia="Times New Roman" w:hAnsi="Times New Roman"/>
                <w:b/>
                <w:bCs/>
                <w:color w:val="000000"/>
                <w:lang w:eastAsia="pt-BR"/>
              </w:rPr>
              <w:lastRenderedPageBreak/>
              <w:t>Cobrança Paulista, Usuários do setor de Açúcar e Álcool - Impacto no Custo Operacional Etanol Anidro (safra 2012-2013)</w:t>
            </w:r>
          </w:p>
        </w:tc>
      </w:tr>
      <w:tr w:rsidR="00AF3B34" w:rsidTr="00AF3B34">
        <w:trPr>
          <w:gridAfter w:val="1"/>
          <w:wAfter w:w="302" w:type="dxa"/>
          <w:trHeight w:val="50"/>
        </w:trPr>
        <w:tc>
          <w:tcPr>
            <w:tcW w:w="775" w:type="dxa"/>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Ordem</w:t>
            </w:r>
          </w:p>
        </w:tc>
        <w:tc>
          <w:tcPr>
            <w:tcW w:w="1681" w:type="dxa"/>
            <w:gridSpan w:val="2"/>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Usuário</w:t>
            </w:r>
          </w:p>
        </w:tc>
        <w:tc>
          <w:tcPr>
            <w:tcW w:w="1671" w:type="dxa"/>
            <w:gridSpan w:val="2"/>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 Anual Cobrança 2013          (R$)</w:t>
            </w:r>
          </w:p>
        </w:tc>
        <w:tc>
          <w:tcPr>
            <w:tcW w:w="1736" w:type="dxa"/>
            <w:gridSpan w:val="2"/>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PRODUÇÃO DE ETANOL ANIDRO (m3)</w:t>
            </w:r>
            <w:r>
              <w:rPr>
                <w:rFonts w:ascii="Times New Roman" w:eastAsia="Times New Roman" w:hAnsi="Times New Roman"/>
                <w:b/>
                <w:bCs/>
                <w:color w:val="000000"/>
                <w:vertAlign w:val="superscript"/>
                <w:lang w:eastAsia="pt-BR"/>
              </w:rPr>
              <w:t>(1)</w:t>
            </w:r>
          </w:p>
        </w:tc>
        <w:tc>
          <w:tcPr>
            <w:tcW w:w="1757" w:type="dxa"/>
            <w:gridSpan w:val="2"/>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CUSTO OPERACIONAL ETANOL ANIDRO (R$/safra)</w:t>
            </w:r>
            <w:r>
              <w:rPr>
                <w:rFonts w:ascii="Times New Roman" w:eastAsia="Times New Roman" w:hAnsi="Times New Roman"/>
                <w:b/>
                <w:bCs/>
                <w:color w:val="000000"/>
                <w:vertAlign w:val="superscript"/>
                <w:lang w:eastAsia="pt-BR"/>
              </w:rPr>
              <w:t>(2)</w:t>
            </w:r>
          </w:p>
        </w:tc>
        <w:tc>
          <w:tcPr>
            <w:tcW w:w="1714" w:type="dxa"/>
            <w:gridSpan w:val="2"/>
            <w:tcBorders>
              <w:top w:val="single" w:sz="4" w:space="0" w:color="auto"/>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IMPACTO MÉDIO 2013  (%) </w:t>
            </w:r>
            <w:r>
              <w:rPr>
                <w:rFonts w:ascii="Times New Roman" w:eastAsia="Times New Roman" w:hAnsi="Times New Roman"/>
                <w:b/>
                <w:bCs/>
                <w:color w:val="000000"/>
                <w:vertAlign w:val="superscript"/>
                <w:lang w:eastAsia="pt-BR"/>
              </w:rPr>
              <w:t>(3)</w:t>
            </w:r>
          </w:p>
        </w:tc>
      </w:tr>
      <w:tr w:rsidR="00AF3B34" w:rsidTr="00AF3B34">
        <w:trPr>
          <w:gridAfter w:val="1"/>
          <w:wAfter w:w="302" w:type="dxa"/>
          <w:trHeight w:val="315"/>
        </w:trPr>
        <w:tc>
          <w:tcPr>
            <w:tcW w:w="775" w:type="dxa"/>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w:t>
            </w:r>
          </w:p>
        </w:tc>
        <w:tc>
          <w:tcPr>
            <w:tcW w:w="1681" w:type="dxa"/>
            <w:gridSpan w:val="2"/>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A</w:t>
            </w:r>
          </w:p>
        </w:tc>
        <w:tc>
          <w:tcPr>
            <w:tcW w:w="1671" w:type="dxa"/>
            <w:gridSpan w:val="2"/>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39.947,61</w:t>
            </w:r>
          </w:p>
        </w:tc>
        <w:tc>
          <w:tcPr>
            <w:tcW w:w="1736" w:type="dxa"/>
            <w:gridSpan w:val="2"/>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57" w:type="dxa"/>
            <w:gridSpan w:val="2"/>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14" w:type="dxa"/>
            <w:gridSpan w:val="2"/>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r>
      <w:tr w:rsidR="00AF3B34" w:rsidTr="00AF3B34">
        <w:trPr>
          <w:gridAfter w:val="1"/>
          <w:wAfter w:w="302" w:type="dxa"/>
          <w:trHeight w:val="300"/>
        </w:trPr>
        <w:tc>
          <w:tcPr>
            <w:tcW w:w="775"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w:t>
            </w:r>
          </w:p>
        </w:tc>
        <w:tc>
          <w:tcPr>
            <w:tcW w:w="168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B</w:t>
            </w:r>
          </w:p>
        </w:tc>
        <w:tc>
          <w:tcPr>
            <w:tcW w:w="167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56.968,53</w:t>
            </w:r>
          </w:p>
        </w:tc>
        <w:tc>
          <w:tcPr>
            <w:tcW w:w="1736"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57"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14"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r>
      <w:tr w:rsidR="00AF3B34" w:rsidTr="00AF3B34">
        <w:trPr>
          <w:gridAfter w:val="1"/>
          <w:wAfter w:w="302" w:type="dxa"/>
          <w:trHeight w:val="300"/>
        </w:trPr>
        <w:tc>
          <w:tcPr>
            <w:tcW w:w="775"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w:t>
            </w:r>
          </w:p>
        </w:tc>
        <w:tc>
          <w:tcPr>
            <w:tcW w:w="168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C</w:t>
            </w:r>
          </w:p>
        </w:tc>
        <w:tc>
          <w:tcPr>
            <w:tcW w:w="167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72.982,66</w:t>
            </w:r>
          </w:p>
        </w:tc>
        <w:tc>
          <w:tcPr>
            <w:tcW w:w="1736"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57"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14"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r>
      <w:tr w:rsidR="00AF3B34" w:rsidTr="00AF3B34">
        <w:trPr>
          <w:gridAfter w:val="1"/>
          <w:wAfter w:w="302" w:type="dxa"/>
          <w:trHeight w:val="300"/>
        </w:trPr>
        <w:tc>
          <w:tcPr>
            <w:tcW w:w="775"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4</w:t>
            </w:r>
          </w:p>
        </w:tc>
        <w:tc>
          <w:tcPr>
            <w:tcW w:w="168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D</w:t>
            </w:r>
          </w:p>
        </w:tc>
        <w:tc>
          <w:tcPr>
            <w:tcW w:w="167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118.472,20</w:t>
            </w:r>
          </w:p>
        </w:tc>
        <w:tc>
          <w:tcPr>
            <w:tcW w:w="1736"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57"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14"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r>
      <w:tr w:rsidR="00AF3B34" w:rsidTr="00AF3B34">
        <w:trPr>
          <w:gridAfter w:val="1"/>
          <w:wAfter w:w="302" w:type="dxa"/>
          <w:trHeight w:val="300"/>
        </w:trPr>
        <w:tc>
          <w:tcPr>
            <w:tcW w:w="775"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5</w:t>
            </w:r>
          </w:p>
        </w:tc>
        <w:tc>
          <w:tcPr>
            <w:tcW w:w="168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E</w:t>
            </w:r>
          </w:p>
        </w:tc>
        <w:tc>
          <w:tcPr>
            <w:tcW w:w="167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166.650,24</w:t>
            </w:r>
          </w:p>
        </w:tc>
        <w:tc>
          <w:tcPr>
            <w:tcW w:w="1736"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56.195,00</w:t>
            </w:r>
          </w:p>
        </w:tc>
        <w:tc>
          <w:tcPr>
            <w:tcW w:w="1757"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65.952.137,85</w:t>
            </w:r>
          </w:p>
        </w:tc>
        <w:tc>
          <w:tcPr>
            <w:tcW w:w="1714"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0,0025</w:t>
            </w:r>
          </w:p>
        </w:tc>
      </w:tr>
      <w:tr w:rsidR="00AF3B34" w:rsidTr="00AF3B34">
        <w:trPr>
          <w:gridAfter w:val="1"/>
          <w:wAfter w:w="302" w:type="dxa"/>
          <w:trHeight w:val="345"/>
        </w:trPr>
        <w:tc>
          <w:tcPr>
            <w:tcW w:w="775"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6</w:t>
            </w:r>
          </w:p>
        </w:tc>
        <w:tc>
          <w:tcPr>
            <w:tcW w:w="168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 xml:space="preserve">EMPRESA F </w:t>
            </w:r>
            <w:r>
              <w:rPr>
                <w:rFonts w:ascii="Times New Roman" w:eastAsia="Times New Roman" w:hAnsi="Times New Roman"/>
                <w:color w:val="000000"/>
                <w:vertAlign w:val="superscript"/>
                <w:lang w:eastAsia="pt-BR"/>
              </w:rPr>
              <w:t>(A)</w:t>
            </w:r>
          </w:p>
        </w:tc>
        <w:tc>
          <w:tcPr>
            <w:tcW w:w="167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319.655,52</w:t>
            </w:r>
          </w:p>
        </w:tc>
        <w:tc>
          <w:tcPr>
            <w:tcW w:w="1736"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57"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14"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r>
      <w:tr w:rsidR="00AF3B34" w:rsidTr="00AF3B34">
        <w:trPr>
          <w:gridAfter w:val="1"/>
          <w:wAfter w:w="302" w:type="dxa"/>
          <w:trHeight w:val="300"/>
        </w:trPr>
        <w:tc>
          <w:tcPr>
            <w:tcW w:w="775" w:type="dxa"/>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7</w:t>
            </w:r>
          </w:p>
        </w:tc>
        <w:tc>
          <w:tcPr>
            <w:tcW w:w="168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G</w:t>
            </w:r>
          </w:p>
        </w:tc>
        <w:tc>
          <w:tcPr>
            <w:tcW w:w="1671" w:type="dxa"/>
            <w:gridSpan w:val="2"/>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22.306,80</w:t>
            </w:r>
          </w:p>
        </w:tc>
        <w:tc>
          <w:tcPr>
            <w:tcW w:w="1736"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57"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14" w:type="dxa"/>
            <w:gridSpan w:val="2"/>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r>
      <w:tr w:rsidR="00AF3B34" w:rsidTr="00AF3B34">
        <w:trPr>
          <w:gridAfter w:val="1"/>
          <w:wAfter w:w="302" w:type="dxa"/>
          <w:trHeight w:val="315"/>
        </w:trPr>
        <w:tc>
          <w:tcPr>
            <w:tcW w:w="775" w:type="dxa"/>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8</w:t>
            </w:r>
          </w:p>
        </w:tc>
        <w:tc>
          <w:tcPr>
            <w:tcW w:w="1681" w:type="dxa"/>
            <w:gridSpan w:val="2"/>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EMPRESA H</w:t>
            </w:r>
          </w:p>
        </w:tc>
        <w:tc>
          <w:tcPr>
            <w:tcW w:w="1671" w:type="dxa"/>
            <w:gridSpan w:val="2"/>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31.514,84</w:t>
            </w:r>
          </w:p>
        </w:tc>
        <w:tc>
          <w:tcPr>
            <w:tcW w:w="1736" w:type="dxa"/>
            <w:gridSpan w:val="2"/>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57" w:type="dxa"/>
            <w:gridSpan w:val="2"/>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c>
          <w:tcPr>
            <w:tcW w:w="1714" w:type="dxa"/>
            <w:gridSpan w:val="2"/>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color w:val="000000"/>
                <w:lang w:eastAsia="pt-BR"/>
              </w:rPr>
            </w:pPr>
            <w:r>
              <w:rPr>
                <w:rFonts w:ascii="Times New Roman" w:eastAsia="Times New Roman" w:hAnsi="Times New Roman"/>
                <w:color w:val="000000"/>
                <w:lang w:eastAsia="pt-BR"/>
              </w:rPr>
              <w:t>ND</w:t>
            </w:r>
          </w:p>
        </w:tc>
      </w:tr>
      <w:tr w:rsidR="00AF3B34" w:rsidTr="00AF3B34">
        <w:trPr>
          <w:gridAfter w:val="1"/>
          <w:wAfter w:w="302" w:type="dxa"/>
          <w:trHeight w:val="50"/>
        </w:trPr>
        <w:tc>
          <w:tcPr>
            <w:tcW w:w="2456" w:type="dxa"/>
            <w:gridSpan w:val="3"/>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w:t>
            </w:r>
          </w:p>
        </w:tc>
        <w:tc>
          <w:tcPr>
            <w:tcW w:w="1671" w:type="dxa"/>
            <w:gridSpan w:val="2"/>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604.777,96</w:t>
            </w:r>
          </w:p>
        </w:tc>
        <w:tc>
          <w:tcPr>
            <w:tcW w:w="1736" w:type="dxa"/>
            <w:gridSpan w:val="2"/>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56.195,00</w:t>
            </w:r>
          </w:p>
        </w:tc>
        <w:tc>
          <w:tcPr>
            <w:tcW w:w="1757" w:type="dxa"/>
            <w:gridSpan w:val="2"/>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65.952.137,85</w:t>
            </w:r>
          </w:p>
        </w:tc>
        <w:tc>
          <w:tcPr>
            <w:tcW w:w="1714" w:type="dxa"/>
            <w:gridSpan w:val="2"/>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0,0092</w:t>
            </w:r>
          </w:p>
        </w:tc>
      </w:tr>
      <w:tr w:rsidR="00AF3B34" w:rsidTr="00AF3B34">
        <w:trPr>
          <w:gridAfter w:val="1"/>
          <w:wAfter w:w="302" w:type="dxa"/>
          <w:trHeight w:val="315"/>
        </w:trPr>
        <w:tc>
          <w:tcPr>
            <w:tcW w:w="9334" w:type="dxa"/>
            <w:gridSpan w:val="11"/>
            <w:tcBorders>
              <w:top w:val="single" w:sz="4" w:space="0" w:color="auto"/>
              <w:left w:val="nil"/>
              <w:bottom w:val="nil"/>
              <w:right w:val="nil"/>
            </w:tcBorders>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Fonte: Agência das Bacias PCJ - Banco de Dados da Cobrança Paulista PCJ</w:t>
            </w:r>
          </w:p>
        </w:tc>
      </w:tr>
      <w:tr w:rsidR="00AF3B34" w:rsidTr="00AF3B34">
        <w:trPr>
          <w:gridAfter w:val="1"/>
          <w:wAfter w:w="302" w:type="dxa"/>
          <w:trHeight w:val="300"/>
        </w:trPr>
        <w:tc>
          <w:tcPr>
            <w:tcW w:w="775" w:type="dxa"/>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OBS:</w:t>
            </w:r>
          </w:p>
        </w:tc>
        <w:tc>
          <w:tcPr>
            <w:tcW w:w="1681" w:type="dxa"/>
            <w:gridSpan w:val="2"/>
            <w:noWrap/>
            <w:vAlign w:val="bottom"/>
            <w:hideMark/>
          </w:tcPr>
          <w:p w:rsidR="00AF3B34" w:rsidRDefault="00AF3B34">
            <w:pPr>
              <w:spacing w:after="0"/>
              <w:jc w:val="both"/>
              <w:rPr>
                <w:rFonts w:cs="Times New Roman"/>
              </w:rPr>
            </w:pPr>
          </w:p>
        </w:tc>
        <w:tc>
          <w:tcPr>
            <w:tcW w:w="1671" w:type="dxa"/>
            <w:gridSpan w:val="2"/>
            <w:noWrap/>
            <w:vAlign w:val="bottom"/>
            <w:hideMark/>
          </w:tcPr>
          <w:p w:rsidR="00AF3B34" w:rsidRDefault="00AF3B34">
            <w:pPr>
              <w:spacing w:after="0"/>
              <w:jc w:val="both"/>
              <w:rPr>
                <w:rFonts w:cs="Times New Roman"/>
              </w:rPr>
            </w:pPr>
          </w:p>
        </w:tc>
        <w:tc>
          <w:tcPr>
            <w:tcW w:w="1736" w:type="dxa"/>
            <w:gridSpan w:val="2"/>
            <w:noWrap/>
            <w:vAlign w:val="bottom"/>
            <w:hideMark/>
          </w:tcPr>
          <w:p w:rsidR="00AF3B34" w:rsidRDefault="00AF3B34">
            <w:pPr>
              <w:spacing w:after="0"/>
              <w:jc w:val="both"/>
              <w:rPr>
                <w:rFonts w:cs="Times New Roman"/>
              </w:rPr>
            </w:pPr>
          </w:p>
        </w:tc>
        <w:tc>
          <w:tcPr>
            <w:tcW w:w="1757" w:type="dxa"/>
            <w:gridSpan w:val="2"/>
            <w:noWrap/>
            <w:vAlign w:val="bottom"/>
            <w:hideMark/>
          </w:tcPr>
          <w:p w:rsidR="00AF3B34" w:rsidRDefault="00AF3B34">
            <w:pPr>
              <w:spacing w:after="0"/>
              <w:jc w:val="both"/>
              <w:rPr>
                <w:rFonts w:cs="Times New Roman"/>
              </w:rPr>
            </w:pPr>
          </w:p>
        </w:tc>
        <w:tc>
          <w:tcPr>
            <w:tcW w:w="1714" w:type="dxa"/>
            <w:gridSpan w:val="2"/>
            <w:noWrap/>
            <w:vAlign w:val="bottom"/>
            <w:hideMark/>
          </w:tcPr>
          <w:p w:rsidR="00AF3B34" w:rsidRDefault="00AF3B34">
            <w:pPr>
              <w:spacing w:after="0"/>
              <w:jc w:val="both"/>
              <w:rPr>
                <w:rFonts w:cs="Times New Roman"/>
              </w:rPr>
            </w:pPr>
          </w:p>
        </w:tc>
      </w:tr>
      <w:tr w:rsidR="00AF3B34" w:rsidTr="00AF3B34">
        <w:trPr>
          <w:gridAfter w:val="1"/>
          <w:wAfter w:w="302" w:type="dxa"/>
          <w:trHeight w:val="420"/>
        </w:trPr>
        <w:tc>
          <w:tcPr>
            <w:tcW w:w="9334" w:type="dxa"/>
            <w:gridSpan w:val="11"/>
            <w:noWrap/>
            <w:vAlign w:val="center"/>
            <w:hideMark/>
          </w:tcPr>
          <w:p w:rsidR="00AF3B34" w:rsidRDefault="00AF3B34">
            <w:pPr>
              <w:rPr>
                <w:rFonts w:ascii="Times New Roman" w:eastAsia="Times New Roman" w:hAnsi="Times New Roman"/>
                <w:color w:val="000000"/>
                <w:lang w:eastAsia="pt-BR"/>
              </w:rPr>
            </w:pPr>
            <w:r>
              <w:rPr>
                <w:rFonts w:ascii="Times New Roman" w:eastAsia="Times New Roman" w:hAnsi="Times New Roman"/>
                <w:color w:val="000000"/>
                <w:lang w:eastAsia="pt-BR"/>
              </w:rPr>
              <w:t>(A) Grande parte da água captada é usada para geração de Eletricidade.</w:t>
            </w:r>
          </w:p>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(1) Valores obtidos do Anuário da Cana 2013, publicado por Procana Brasil (www.procana.com.br)</w:t>
            </w:r>
          </w:p>
        </w:tc>
      </w:tr>
      <w:tr w:rsidR="00AF3B34" w:rsidTr="00AF3B34">
        <w:trPr>
          <w:gridAfter w:val="1"/>
          <w:wAfter w:w="302" w:type="dxa"/>
          <w:trHeight w:val="420"/>
        </w:trPr>
        <w:tc>
          <w:tcPr>
            <w:tcW w:w="9334" w:type="dxa"/>
            <w:gridSpan w:val="11"/>
            <w:noWrap/>
            <w:vAlign w:val="center"/>
            <w:hideMark/>
          </w:tcPr>
          <w:p w:rsidR="00AF3B34" w:rsidRDefault="00AF3B34">
            <w:pPr>
              <w:rPr>
                <w:rFonts w:ascii="Times New Roman" w:eastAsia="Times New Roman" w:hAnsi="Times New Roman"/>
                <w:color w:val="000000"/>
                <w:lang w:eastAsia="pt-BR"/>
              </w:rPr>
            </w:pPr>
            <w:r>
              <w:rPr>
                <w:rFonts w:ascii="Times New Roman" w:eastAsia="Times New Roman" w:hAnsi="Times New Roman"/>
                <w:color w:val="000000"/>
                <w:lang w:eastAsia="pt-BR"/>
              </w:rPr>
              <w:t>(2) Valor obtido pela multiplicação da quantidade de etanol anidro produzido pelo custo de contribuição do etanol anidro (R$1.173,63) obtido através do Projeto PECEGE/ESALQ/USP</w:t>
            </w:r>
          </w:p>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(3) Obtido através da divisão do total anual cobrança 2013 pelo custo operacional médio (2013)</w:t>
            </w:r>
          </w:p>
        </w:tc>
      </w:tr>
      <w:tr w:rsidR="00AF3B34" w:rsidTr="00AF3B34">
        <w:trPr>
          <w:trHeight w:val="1230"/>
        </w:trPr>
        <w:tc>
          <w:tcPr>
            <w:tcW w:w="9636" w:type="dxa"/>
            <w:gridSpan w:val="12"/>
            <w:noWrap/>
            <w:vAlign w:val="bottom"/>
            <w:hideMark/>
          </w:tcPr>
          <w:tbl>
            <w:tblPr>
              <w:tblW w:w="0" w:type="auto"/>
              <w:tblCellSpacing w:w="0" w:type="dxa"/>
              <w:tblCellMar>
                <w:left w:w="0" w:type="dxa"/>
                <w:right w:w="0" w:type="dxa"/>
              </w:tblCellMar>
              <w:tblLook w:val="04A0"/>
            </w:tblPr>
            <w:tblGrid>
              <w:gridCol w:w="9496"/>
            </w:tblGrid>
            <w:tr w:rsidR="00AF3B34">
              <w:trPr>
                <w:trHeight w:val="1230"/>
                <w:tblCellSpacing w:w="0" w:type="dxa"/>
              </w:trPr>
              <w:tc>
                <w:tcPr>
                  <w:tcW w:w="9496" w:type="dxa"/>
                  <w:tcBorders>
                    <w:top w:val="nil"/>
                    <w:left w:val="nil"/>
                    <w:bottom w:val="single" w:sz="12" w:space="0" w:color="auto"/>
                    <w:right w:val="nil"/>
                  </w:tcBorders>
                  <w:vAlign w:val="center"/>
                </w:tcPr>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rPr>
                      <w:rFonts w:ascii="Times New Roman" w:eastAsia="Times New Roman" w:hAnsi="Times New Roman"/>
                      <w:b/>
                      <w:bCs/>
                      <w:color w:val="000000"/>
                      <w:lang w:eastAsia="pt-BR"/>
                    </w:rPr>
                  </w:pPr>
                </w:p>
                <w:p w:rsidR="00AF3B34" w:rsidRDefault="00AF3B34">
                  <w:pPr>
                    <w:spacing w:after="120"/>
                    <w:rPr>
                      <w:rFonts w:ascii="Times New Roman" w:eastAsia="Times New Roman" w:hAnsi="Times New Roman"/>
                      <w:b/>
                      <w:bCs/>
                      <w:color w:val="000000"/>
                      <w:lang w:eastAsia="pt-BR"/>
                    </w:rPr>
                  </w:pPr>
                  <w:r>
                    <w:rPr>
                      <w:rFonts w:ascii="Times New Roman" w:eastAsia="Times New Roman" w:hAnsi="Times New Roman"/>
                      <w:b/>
                      <w:bCs/>
                      <w:color w:val="000000"/>
                      <w:lang w:eastAsia="pt-BR"/>
                    </w:rPr>
                    <w:t>Tabela: Cobrança Paulista, Usuários do setor de Açucar e Alcool - Impacto no Custo Operacional Etanol Hidratado (safra 2012-2013)</w:t>
                  </w:r>
                </w:p>
              </w:tc>
            </w:tr>
          </w:tbl>
          <w:p w:rsidR="00AF3B34" w:rsidRDefault="00AF3B34">
            <w:pPr>
              <w:spacing w:after="0"/>
              <w:jc w:val="both"/>
              <w:rPr>
                <w:rFonts w:cs="Times New Roman"/>
              </w:rPr>
            </w:pPr>
          </w:p>
        </w:tc>
      </w:tr>
      <w:tr w:rsidR="00AF3B34" w:rsidTr="00AF3B34">
        <w:trPr>
          <w:trHeight w:val="80"/>
        </w:trPr>
        <w:tc>
          <w:tcPr>
            <w:tcW w:w="821" w:type="dxa"/>
            <w:gridSpan w:val="2"/>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lastRenderedPageBreak/>
              <w:t>Ordem</w:t>
            </w:r>
          </w:p>
        </w:tc>
        <w:tc>
          <w:tcPr>
            <w:tcW w:w="1918" w:type="dxa"/>
            <w:gridSpan w:val="2"/>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Usuário</w:t>
            </w:r>
          </w:p>
        </w:tc>
        <w:tc>
          <w:tcPr>
            <w:tcW w:w="1679" w:type="dxa"/>
            <w:gridSpan w:val="2"/>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 Anual Cobrança 2013          (R$)</w:t>
            </w:r>
          </w:p>
        </w:tc>
        <w:tc>
          <w:tcPr>
            <w:tcW w:w="1826" w:type="dxa"/>
            <w:gridSpan w:val="2"/>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PRODUÇÃO DE ETANOL HIDRATADO (m3)(1)</w:t>
            </w:r>
          </w:p>
        </w:tc>
        <w:tc>
          <w:tcPr>
            <w:tcW w:w="1928" w:type="dxa"/>
            <w:gridSpan w:val="2"/>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CUSTO OPERACIONAL ETANOL HIDRATADO (R$/safra)(2)</w:t>
            </w:r>
          </w:p>
        </w:tc>
        <w:tc>
          <w:tcPr>
            <w:tcW w:w="1464" w:type="dxa"/>
            <w:gridSpan w:val="2"/>
            <w:tcBorders>
              <w:top w:val="nil"/>
              <w:left w:val="nil"/>
              <w:bottom w:val="single" w:sz="4" w:space="0" w:color="auto"/>
              <w:right w:val="nil"/>
            </w:tcBorders>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IMPACTO MÉDIO 2013  (%) (3)</w:t>
            </w:r>
          </w:p>
        </w:tc>
      </w:tr>
      <w:tr w:rsidR="00AF3B34" w:rsidTr="00AF3B34">
        <w:trPr>
          <w:trHeight w:val="315"/>
        </w:trPr>
        <w:tc>
          <w:tcPr>
            <w:tcW w:w="821" w:type="dxa"/>
            <w:gridSpan w:val="2"/>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1</w:t>
            </w:r>
          </w:p>
        </w:tc>
        <w:tc>
          <w:tcPr>
            <w:tcW w:w="1918" w:type="dxa"/>
            <w:gridSpan w:val="2"/>
            <w:tcBorders>
              <w:top w:val="single" w:sz="4" w:space="0" w:color="auto"/>
              <w:left w:val="nil"/>
              <w:bottom w:val="nil"/>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A</w:t>
            </w:r>
          </w:p>
        </w:tc>
        <w:tc>
          <w:tcPr>
            <w:tcW w:w="1679" w:type="dxa"/>
            <w:gridSpan w:val="2"/>
            <w:tcBorders>
              <w:top w:val="single" w:sz="4" w:space="0" w:color="auto"/>
              <w:left w:val="nil"/>
              <w:bottom w:val="nil"/>
              <w:right w:val="nil"/>
            </w:tcBorders>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39.947,61</w:t>
            </w:r>
          </w:p>
        </w:tc>
        <w:tc>
          <w:tcPr>
            <w:tcW w:w="1826" w:type="dxa"/>
            <w:gridSpan w:val="2"/>
            <w:tcBorders>
              <w:top w:val="single" w:sz="4" w:space="0" w:color="auto"/>
              <w:left w:val="nil"/>
              <w:bottom w:val="nil"/>
              <w:right w:val="nil"/>
            </w:tcBorders>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928" w:type="dxa"/>
            <w:gridSpan w:val="2"/>
            <w:tcBorders>
              <w:top w:val="single" w:sz="4" w:space="0" w:color="auto"/>
              <w:left w:val="nil"/>
              <w:bottom w:val="nil"/>
              <w:right w:val="nil"/>
            </w:tcBorders>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464" w:type="dxa"/>
            <w:gridSpan w:val="2"/>
            <w:tcBorders>
              <w:top w:val="single" w:sz="4" w:space="0" w:color="auto"/>
              <w:left w:val="nil"/>
              <w:bottom w:val="nil"/>
              <w:right w:val="nil"/>
            </w:tcBorders>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300"/>
        </w:trPr>
        <w:tc>
          <w:tcPr>
            <w:tcW w:w="821"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2</w:t>
            </w:r>
          </w:p>
        </w:tc>
        <w:tc>
          <w:tcPr>
            <w:tcW w:w="1918"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B</w:t>
            </w:r>
          </w:p>
        </w:tc>
        <w:tc>
          <w:tcPr>
            <w:tcW w:w="1679"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56.968,53</w:t>
            </w:r>
          </w:p>
        </w:tc>
        <w:tc>
          <w:tcPr>
            <w:tcW w:w="1826"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928"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464"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300"/>
        </w:trPr>
        <w:tc>
          <w:tcPr>
            <w:tcW w:w="821"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3</w:t>
            </w:r>
          </w:p>
        </w:tc>
        <w:tc>
          <w:tcPr>
            <w:tcW w:w="1918"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C</w:t>
            </w:r>
          </w:p>
        </w:tc>
        <w:tc>
          <w:tcPr>
            <w:tcW w:w="1679"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72.982,66</w:t>
            </w:r>
          </w:p>
        </w:tc>
        <w:tc>
          <w:tcPr>
            <w:tcW w:w="1826"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928"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464"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300"/>
        </w:trPr>
        <w:tc>
          <w:tcPr>
            <w:tcW w:w="821"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4</w:t>
            </w:r>
          </w:p>
        </w:tc>
        <w:tc>
          <w:tcPr>
            <w:tcW w:w="1918"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D</w:t>
            </w:r>
          </w:p>
        </w:tc>
        <w:tc>
          <w:tcPr>
            <w:tcW w:w="1679"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118.472,20</w:t>
            </w:r>
          </w:p>
        </w:tc>
        <w:tc>
          <w:tcPr>
            <w:tcW w:w="1826"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928"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464"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300"/>
        </w:trPr>
        <w:tc>
          <w:tcPr>
            <w:tcW w:w="821"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5</w:t>
            </w:r>
          </w:p>
        </w:tc>
        <w:tc>
          <w:tcPr>
            <w:tcW w:w="1918"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E</w:t>
            </w:r>
          </w:p>
        </w:tc>
        <w:tc>
          <w:tcPr>
            <w:tcW w:w="1679"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166.650,24</w:t>
            </w:r>
          </w:p>
        </w:tc>
        <w:tc>
          <w:tcPr>
            <w:tcW w:w="1826"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33.487,00</w:t>
            </w:r>
          </w:p>
        </w:tc>
        <w:tc>
          <w:tcPr>
            <w:tcW w:w="1928"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25.100.850,59</w:t>
            </w:r>
          </w:p>
        </w:tc>
        <w:tc>
          <w:tcPr>
            <w:tcW w:w="1464"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0,0066</w:t>
            </w:r>
          </w:p>
        </w:tc>
      </w:tr>
      <w:tr w:rsidR="00AF3B34" w:rsidTr="00AF3B34">
        <w:trPr>
          <w:trHeight w:val="345"/>
        </w:trPr>
        <w:tc>
          <w:tcPr>
            <w:tcW w:w="821"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6</w:t>
            </w:r>
          </w:p>
        </w:tc>
        <w:tc>
          <w:tcPr>
            <w:tcW w:w="1918"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F (A)</w:t>
            </w:r>
          </w:p>
        </w:tc>
        <w:tc>
          <w:tcPr>
            <w:tcW w:w="1679"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319.655,52</w:t>
            </w:r>
          </w:p>
        </w:tc>
        <w:tc>
          <w:tcPr>
            <w:tcW w:w="1826"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48.120,00</w:t>
            </w:r>
          </w:p>
        </w:tc>
        <w:tc>
          <w:tcPr>
            <w:tcW w:w="1928"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36.069.308,40</w:t>
            </w:r>
          </w:p>
        </w:tc>
        <w:tc>
          <w:tcPr>
            <w:tcW w:w="1464"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0,0089</w:t>
            </w:r>
          </w:p>
        </w:tc>
      </w:tr>
      <w:tr w:rsidR="00AF3B34" w:rsidTr="00AF3B34">
        <w:trPr>
          <w:trHeight w:val="300"/>
        </w:trPr>
        <w:tc>
          <w:tcPr>
            <w:tcW w:w="821"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7</w:t>
            </w:r>
          </w:p>
        </w:tc>
        <w:tc>
          <w:tcPr>
            <w:tcW w:w="1918" w:type="dxa"/>
            <w:gridSpan w:val="2"/>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G</w:t>
            </w:r>
          </w:p>
        </w:tc>
        <w:tc>
          <w:tcPr>
            <w:tcW w:w="1679"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22.306,80</w:t>
            </w:r>
          </w:p>
        </w:tc>
        <w:tc>
          <w:tcPr>
            <w:tcW w:w="1826"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928"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464" w:type="dxa"/>
            <w:gridSpan w:val="2"/>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315"/>
        </w:trPr>
        <w:tc>
          <w:tcPr>
            <w:tcW w:w="821" w:type="dxa"/>
            <w:gridSpan w:val="2"/>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8</w:t>
            </w:r>
          </w:p>
        </w:tc>
        <w:tc>
          <w:tcPr>
            <w:tcW w:w="1918" w:type="dxa"/>
            <w:gridSpan w:val="2"/>
            <w:tcBorders>
              <w:top w:val="nil"/>
              <w:left w:val="nil"/>
              <w:bottom w:val="single" w:sz="4" w:space="0" w:color="auto"/>
              <w:right w:val="nil"/>
            </w:tcBorders>
            <w:noWrap/>
            <w:vAlign w:val="bottom"/>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EMPRESA H</w:t>
            </w:r>
          </w:p>
        </w:tc>
        <w:tc>
          <w:tcPr>
            <w:tcW w:w="1679" w:type="dxa"/>
            <w:gridSpan w:val="2"/>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31.514,84</w:t>
            </w:r>
          </w:p>
        </w:tc>
        <w:tc>
          <w:tcPr>
            <w:tcW w:w="1826" w:type="dxa"/>
            <w:gridSpan w:val="2"/>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928" w:type="dxa"/>
            <w:gridSpan w:val="2"/>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c>
          <w:tcPr>
            <w:tcW w:w="1464" w:type="dxa"/>
            <w:gridSpan w:val="2"/>
            <w:tcBorders>
              <w:top w:val="nil"/>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Cs/>
                <w:color w:val="000000"/>
                <w:lang w:eastAsia="pt-BR"/>
              </w:rPr>
            </w:pPr>
            <w:r>
              <w:rPr>
                <w:rFonts w:ascii="Times New Roman" w:eastAsia="Times New Roman" w:hAnsi="Times New Roman"/>
                <w:bCs/>
                <w:color w:val="000000"/>
                <w:lang w:eastAsia="pt-BR"/>
              </w:rPr>
              <w:t>ND</w:t>
            </w:r>
          </w:p>
        </w:tc>
      </w:tr>
      <w:tr w:rsidR="00AF3B34" w:rsidTr="00AF3B34">
        <w:trPr>
          <w:trHeight w:val="50"/>
        </w:trPr>
        <w:tc>
          <w:tcPr>
            <w:tcW w:w="2739" w:type="dxa"/>
            <w:gridSpan w:val="4"/>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TOTAL</w:t>
            </w:r>
          </w:p>
        </w:tc>
        <w:tc>
          <w:tcPr>
            <w:tcW w:w="1679" w:type="dxa"/>
            <w:gridSpan w:val="2"/>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828.498,40</w:t>
            </w:r>
          </w:p>
        </w:tc>
        <w:tc>
          <w:tcPr>
            <w:tcW w:w="1826" w:type="dxa"/>
            <w:gridSpan w:val="2"/>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81.607,00</w:t>
            </w:r>
          </w:p>
        </w:tc>
        <w:tc>
          <w:tcPr>
            <w:tcW w:w="1928" w:type="dxa"/>
            <w:gridSpan w:val="2"/>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61.170.158,99</w:t>
            </w:r>
          </w:p>
        </w:tc>
        <w:tc>
          <w:tcPr>
            <w:tcW w:w="1464" w:type="dxa"/>
            <w:gridSpan w:val="2"/>
            <w:tcBorders>
              <w:top w:val="single" w:sz="4" w:space="0" w:color="auto"/>
              <w:left w:val="nil"/>
              <w:bottom w:val="single" w:sz="4" w:space="0" w:color="auto"/>
              <w:right w:val="nil"/>
            </w:tcBorders>
            <w:noWrap/>
            <w:vAlign w:val="center"/>
            <w:hideMark/>
          </w:tcPr>
          <w:p w:rsidR="00AF3B34" w:rsidRDefault="00AF3B34">
            <w:pPr>
              <w:spacing w:after="120"/>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0,0135</w:t>
            </w:r>
          </w:p>
        </w:tc>
      </w:tr>
      <w:tr w:rsidR="00AF3B34" w:rsidTr="00AF3B34">
        <w:trPr>
          <w:trHeight w:val="315"/>
        </w:trPr>
        <w:tc>
          <w:tcPr>
            <w:tcW w:w="9636" w:type="dxa"/>
            <w:gridSpan w:val="12"/>
            <w:tcBorders>
              <w:top w:val="single" w:sz="4" w:space="0" w:color="auto"/>
              <w:left w:val="nil"/>
              <w:bottom w:val="nil"/>
              <w:right w:val="nil"/>
            </w:tcBorders>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Fonte: Agência das Bacias PCJ - Banco de Dados da Cobrança Paulista PCJ</w:t>
            </w:r>
          </w:p>
        </w:tc>
      </w:tr>
      <w:tr w:rsidR="00AF3B34" w:rsidTr="00AF3B34">
        <w:trPr>
          <w:trHeight w:hRule="exact" w:val="227"/>
        </w:trPr>
        <w:tc>
          <w:tcPr>
            <w:tcW w:w="821" w:type="dxa"/>
            <w:gridSpan w:val="2"/>
            <w:noWrap/>
            <w:vAlign w:val="bottom"/>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OBS:</w:t>
            </w:r>
          </w:p>
        </w:tc>
        <w:tc>
          <w:tcPr>
            <w:tcW w:w="1918" w:type="dxa"/>
            <w:gridSpan w:val="2"/>
            <w:noWrap/>
            <w:vAlign w:val="bottom"/>
            <w:hideMark/>
          </w:tcPr>
          <w:p w:rsidR="00AF3B34" w:rsidRDefault="00AF3B34">
            <w:pPr>
              <w:spacing w:after="0"/>
              <w:jc w:val="both"/>
              <w:rPr>
                <w:rFonts w:cs="Times New Roman"/>
              </w:rPr>
            </w:pPr>
          </w:p>
        </w:tc>
        <w:tc>
          <w:tcPr>
            <w:tcW w:w="1679" w:type="dxa"/>
            <w:gridSpan w:val="2"/>
            <w:noWrap/>
            <w:vAlign w:val="bottom"/>
            <w:hideMark/>
          </w:tcPr>
          <w:p w:rsidR="00AF3B34" w:rsidRDefault="00AF3B34">
            <w:pPr>
              <w:spacing w:after="0"/>
              <w:jc w:val="both"/>
              <w:rPr>
                <w:rFonts w:cs="Times New Roman"/>
              </w:rPr>
            </w:pPr>
          </w:p>
        </w:tc>
        <w:tc>
          <w:tcPr>
            <w:tcW w:w="1826" w:type="dxa"/>
            <w:gridSpan w:val="2"/>
            <w:noWrap/>
            <w:vAlign w:val="bottom"/>
            <w:hideMark/>
          </w:tcPr>
          <w:p w:rsidR="00AF3B34" w:rsidRDefault="00AF3B34">
            <w:pPr>
              <w:spacing w:after="0"/>
              <w:jc w:val="both"/>
              <w:rPr>
                <w:rFonts w:cs="Times New Roman"/>
              </w:rPr>
            </w:pPr>
          </w:p>
        </w:tc>
        <w:tc>
          <w:tcPr>
            <w:tcW w:w="1928" w:type="dxa"/>
            <w:gridSpan w:val="2"/>
            <w:noWrap/>
            <w:vAlign w:val="bottom"/>
            <w:hideMark/>
          </w:tcPr>
          <w:p w:rsidR="00AF3B34" w:rsidRDefault="00AF3B34">
            <w:pPr>
              <w:spacing w:after="0"/>
              <w:jc w:val="both"/>
              <w:rPr>
                <w:rFonts w:cs="Times New Roman"/>
              </w:rPr>
            </w:pPr>
          </w:p>
        </w:tc>
        <w:tc>
          <w:tcPr>
            <w:tcW w:w="1464" w:type="dxa"/>
            <w:gridSpan w:val="2"/>
            <w:noWrap/>
            <w:vAlign w:val="bottom"/>
            <w:hideMark/>
          </w:tcPr>
          <w:p w:rsidR="00AF3B34" w:rsidRDefault="00AF3B34">
            <w:pPr>
              <w:spacing w:after="0"/>
              <w:jc w:val="both"/>
              <w:rPr>
                <w:rFonts w:cs="Times New Roman"/>
              </w:rPr>
            </w:pPr>
          </w:p>
        </w:tc>
      </w:tr>
      <w:tr w:rsidR="00AF3B34" w:rsidTr="00AF3B34">
        <w:trPr>
          <w:trHeight w:val="227"/>
        </w:trPr>
        <w:tc>
          <w:tcPr>
            <w:tcW w:w="9636" w:type="dxa"/>
            <w:gridSpan w:val="12"/>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(A) Grande parte da água captada é usada para geração de Eletricidade.</w:t>
            </w:r>
          </w:p>
        </w:tc>
      </w:tr>
      <w:tr w:rsidR="00AF3B34" w:rsidTr="00AF3B34">
        <w:trPr>
          <w:trHeight w:val="227"/>
        </w:trPr>
        <w:tc>
          <w:tcPr>
            <w:tcW w:w="9636" w:type="dxa"/>
            <w:gridSpan w:val="12"/>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(1) Valores obtidos do Anuário da Cana 2013, publicado por Procana Brasil (www.procana.com.br)</w:t>
            </w:r>
          </w:p>
        </w:tc>
      </w:tr>
      <w:tr w:rsidR="00AF3B34" w:rsidTr="00AF3B34">
        <w:trPr>
          <w:trHeight w:val="227"/>
        </w:trPr>
        <w:tc>
          <w:tcPr>
            <w:tcW w:w="9636" w:type="dxa"/>
            <w:gridSpan w:val="12"/>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(2) Valor obtido pela multiplicação da quantidade de Etanol Anidro produzido, pelo custo de contribuição do Etanol Hidratado (R$ 1.102,15) - obtido através do Projeto PECEGE/ ESALQ / USP</w:t>
            </w:r>
          </w:p>
        </w:tc>
      </w:tr>
      <w:tr w:rsidR="00AF3B34" w:rsidTr="00AF3B34">
        <w:trPr>
          <w:trHeight w:val="227"/>
        </w:trPr>
        <w:tc>
          <w:tcPr>
            <w:tcW w:w="9636" w:type="dxa"/>
            <w:gridSpan w:val="12"/>
            <w:noWrap/>
            <w:vAlign w:val="center"/>
            <w:hideMark/>
          </w:tcPr>
          <w:p w:rsidR="00AF3B34" w:rsidRDefault="00AF3B34">
            <w:pPr>
              <w:spacing w:after="120"/>
              <w:rPr>
                <w:rFonts w:ascii="Times New Roman" w:eastAsia="Times New Roman" w:hAnsi="Times New Roman"/>
                <w:color w:val="000000"/>
                <w:lang w:eastAsia="pt-BR"/>
              </w:rPr>
            </w:pPr>
            <w:r>
              <w:rPr>
                <w:rFonts w:ascii="Times New Roman" w:eastAsia="Times New Roman" w:hAnsi="Times New Roman"/>
                <w:color w:val="000000"/>
                <w:lang w:eastAsia="pt-BR"/>
              </w:rPr>
              <w:t>(3) Obtido através da Divisão do Total Anual cobrança  2013 pelo Custo Operacional médio (2013)</w:t>
            </w:r>
          </w:p>
        </w:tc>
      </w:tr>
    </w:tbl>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spacing w:after="0"/>
        <w:rPr>
          <w:rFonts w:ascii="Times New Roman" w:hAnsi="Times New Roman"/>
          <w:sz w:val="24"/>
          <w:szCs w:val="24"/>
        </w:rPr>
        <w:sectPr w:rsidR="00AF3B34">
          <w:pgSz w:w="11906" w:h="16838"/>
          <w:pgMar w:top="1134" w:right="1134" w:bottom="1134" w:left="1134" w:header="709" w:footer="709" w:gutter="0"/>
          <w:cols w:space="720"/>
        </w:sectPr>
      </w:pPr>
    </w:p>
    <w:p w:rsidR="00AF3B34" w:rsidRDefault="00AF3B34" w:rsidP="00AF3B34">
      <w:pPr>
        <w:tabs>
          <w:tab w:val="left" w:pos="7010"/>
          <w:tab w:val="left" w:pos="8842"/>
        </w:tabs>
        <w:rPr>
          <w:rFonts w:ascii="Times New Roman" w:hAnsi="Times New Roman"/>
          <w:b/>
          <w:sz w:val="36"/>
          <w:szCs w:val="36"/>
        </w:rPr>
      </w:pPr>
      <w:r>
        <w:rPr>
          <w:rFonts w:ascii="Times New Roman" w:hAnsi="Times New Roman"/>
          <w:b/>
          <w:sz w:val="36"/>
          <w:szCs w:val="36"/>
        </w:rPr>
        <w:lastRenderedPageBreak/>
        <w:t>ARRECADAÇÃO</w:t>
      </w: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r>
        <w:rPr>
          <w:rFonts w:ascii="Times New Roman" w:hAnsi="Times New Roman"/>
          <w:sz w:val="24"/>
          <w:szCs w:val="24"/>
        </w:rPr>
        <w:t xml:space="preserve">      </w:t>
      </w:r>
      <w:r>
        <w:rPr>
          <w:rFonts w:ascii="Times New Roman" w:hAnsi="Times New Roman"/>
          <w:noProof/>
          <w:sz w:val="24"/>
          <w:szCs w:val="24"/>
          <w:lang w:eastAsia="pt-BR"/>
        </w:rPr>
        <w:drawing>
          <wp:inline distT="0" distB="0" distL="0" distR="0">
            <wp:extent cx="5617210" cy="3084830"/>
            <wp:effectExtent l="19050" t="0" r="254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1"/>
                    <a:srcRect/>
                    <a:stretch>
                      <a:fillRect/>
                    </a:stretch>
                  </pic:blipFill>
                  <pic:spPr bwMode="auto">
                    <a:xfrm>
                      <a:off x="0" y="0"/>
                      <a:ext cx="5617210" cy="3084830"/>
                    </a:xfrm>
                    <a:prstGeom prst="rect">
                      <a:avLst/>
                    </a:prstGeom>
                    <a:noFill/>
                    <a:ln w="9525">
                      <a:noFill/>
                      <a:miter lim="800000"/>
                      <a:headEnd/>
                      <a:tailEnd/>
                    </a:ln>
                  </pic:spPr>
                </pic:pic>
              </a:graphicData>
            </a:graphic>
          </wp:inline>
        </w:drawing>
      </w: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r>
        <w:rPr>
          <w:rFonts w:ascii="Times New Roman" w:hAnsi="Times New Roman"/>
          <w:noProof/>
          <w:sz w:val="24"/>
          <w:szCs w:val="24"/>
          <w:lang w:eastAsia="pt-BR"/>
        </w:rPr>
        <w:lastRenderedPageBreak/>
        <w:drawing>
          <wp:inline distT="0" distB="0" distL="0" distR="0">
            <wp:extent cx="5928360" cy="3185160"/>
            <wp:effectExtent l="1905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2"/>
                    <a:srcRect/>
                    <a:stretch>
                      <a:fillRect/>
                    </a:stretch>
                  </pic:blipFill>
                  <pic:spPr bwMode="auto">
                    <a:xfrm>
                      <a:off x="0" y="0"/>
                      <a:ext cx="5928360" cy="3185160"/>
                    </a:xfrm>
                    <a:prstGeom prst="rect">
                      <a:avLst/>
                    </a:prstGeom>
                    <a:noFill/>
                    <a:ln w="9525">
                      <a:noFill/>
                      <a:miter lim="800000"/>
                      <a:headEnd/>
                      <a:tailEnd/>
                    </a:ln>
                  </pic:spPr>
                </pic:pic>
              </a:graphicData>
            </a:graphic>
          </wp:inline>
        </w:drawing>
      </w: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r>
        <w:rPr>
          <w:rFonts w:ascii="Times New Roman" w:hAnsi="Times New Roman"/>
          <w:noProof/>
          <w:sz w:val="24"/>
          <w:szCs w:val="24"/>
          <w:lang w:eastAsia="pt-BR"/>
        </w:rPr>
        <w:drawing>
          <wp:inline distT="0" distB="0" distL="0" distR="0">
            <wp:extent cx="5436235" cy="2642870"/>
            <wp:effectExtent l="19050" t="0" r="0" b="0"/>
            <wp:docPr id="5"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3"/>
                    <a:srcRect/>
                    <a:stretch>
                      <a:fillRect/>
                    </a:stretch>
                  </pic:blipFill>
                  <pic:spPr bwMode="auto">
                    <a:xfrm>
                      <a:off x="0" y="0"/>
                      <a:ext cx="5436235" cy="2642870"/>
                    </a:xfrm>
                    <a:prstGeom prst="rect">
                      <a:avLst/>
                    </a:prstGeom>
                    <a:noFill/>
                    <a:ln w="9525">
                      <a:noFill/>
                      <a:miter lim="800000"/>
                      <a:headEnd/>
                      <a:tailEnd/>
                    </a:ln>
                  </pic:spPr>
                </pic:pic>
              </a:graphicData>
            </a:graphic>
          </wp:inline>
        </w:drawing>
      </w: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r>
        <w:rPr>
          <w:rFonts w:ascii="Times New Roman" w:hAnsi="Times New Roman"/>
          <w:b/>
          <w:sz w:val="36"/>
          <w:szCs w:val="36"/>
        </w:rPr>
        <w:t>APLICAÇÃO</w:t>
      </w:r>
    </w:p>
    <w:p w:rsidR="00AF3B34" w:rsidRDefault="00AF3B34" w:rsidP="00AF3B34">
      <w:pPr>
        <w:tabs>
          <w:tab w:val="left" w:pos="7010"/>
          <w:tab w:val="left" w:pos="8842"/>
        </w:tabs>
        <w:rPr>
          <w:rFonts w:ascii="Times New Roman" w:hAnsi="Times New Roman"/>
          <w:sz w:val="24"/>
          <w:szCs w:val="24"/>
        </w:rPr>
      </w:pPr>
      <w:r>
        <w:rPr>
          <w:rFonts w:ascii="Times New Roman" w:hAnsi="Times New Roman"/>
          <w:noProof/>
          <w:sz w:val="24"/>
          <w:szCs w:val="24"/>
          <w:lang w:eastAsia="pt-BR"/>
        </w:rPr>
        <w:lastRenderedPageBreak/>
        <w:drawing>
          <wp:inline distT="0" distB="0" distL="0" distR="0">
            <wp:extent cx="5948680" cy="3536950"/>
            <wp:effectExtent l="0" t="0" r="0" b="0"/>
            <wp:docPr id="6" name="Image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F3B34" w:rsidRDefault="00AF3B34" w:rsidP="00AF3B34">
      <w:pPr>
        <w:pStyle w:val="Legenda"/>
      </w:pPr>
      <w:bookmarkStart w:id="9" w:name="_Toc372711035"/>
      <w:r>
        <w:t>Cobrança PCJ Federal 2006 a 2013.</w:t>
      </w:r>
      <w:bookmarkEnd w:id="9"/>
    </w:p>
    <w:p w:rsidR="00AF3B34" w:rsidRDefault="00AF3B34" w:rsidP="00AF3B34">
      <w:pPr>
        <w:rPr>
          <w:rFonts w:ascii="Times New Roman" w:eastAsia="Times New Roman" w:hAnsi="Times New Roman"/>
          <w:color w:val="000000"/>
          <w:lang w:eastAsia="pt-BR"/>
        </w:rPr>
      </w:pPr>
      <w:r>
        <w:rPr>
          <w:rFonts w:ascii="Times New Roman" w:hAnsi="Times New Roman"/>
        </w:rPr>
        <w:t>Fonte: Fundação Agência das Bacias PCJ.</w:t>
      </w: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r>
        <w:rPr>
          <w:noProof/>
          <w:lang w:eastAsia="pt-BR"/>
        </w:rPr>
        <w:drawing>
          <wp:inline distT="0" distB="0" distL="0" distR="0">
            <wp:extent cx="5948680" cy="4149725"/>
            <wp:effectExtent l="0" t="0" r="0" b="0"/>
            <wp:docPr id="7"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F3B34" w:rsidRDefault="00AF3B34" w:rsidP="00AF3B34">
      <w:pPr>
        <w:pStyle w:val="Legenda"/>
      </w:pPr>
      <w:bookmarkStart w:id="10" w:name="_Toc372711038"/>
      <w:r>
        <w:lastRenderedPageBreak/>
        <w:t>FEHIDRO e Cobranças PCJ (total).</w:t>
      </w:r>
      <w:bookmarkEnd w:id="10"/>
    </w:p>
    <w:p w:rsidR="00AF3B34" w:rsidRDefault="00AF3B34" w:rsidP="00AF3B34">
      <w:pPr>
        <w:rPr>
          <w:rFonts w:ascii="Times New Roman" w:hAnsi="Times New Roman"/>
          <w:sz w:val="20"/>
          <w:szCs w:val="20"/>
        </w:rPr>
      </w:pPr>
      <w:r>
        <w:rPr>
          <w:rFonts w:ascii="Times New Roman" w:hAnsi="Times New Roman"/>
          <w:sz w:val="20"/>
          <w:szCs w:val="20"/>
        </w:rPr>
        <w:t>Fonte: Fundação Agência das Bacias PCJ (2013)</w:t>
      </w: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sz w:val="24"/>
          <w:szCs w:val="24"/>
        </w:rPr>
      </w:pPr>
      <w:r>
        <w:rPr>
          <w:rFonts w:ascii="Times New Roman" w:hAnsi="Times New Roman"/>
          <w:noProof/>
          <w:sz w:val="24"/>
          <w:szCs w:val="24"/>
          <w:lang w:eastAsia="pt-BR"/>
        </w:rPr>
        <w:drawing>
          <wp:inline distT="0" distB="0" distL="0" distR="0">
            <wp:extent cx="5747385" cy="3225800"/>
            <wp:effectExtent l="0" t="0" r="0" b="0"/>
            <wp:docPr id="8"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F3B34" w:rsidRDefault="00AF3B34" w:rsidP="00AF3B34">
      <w:pPr>
        <w:pStyle w:val="Legenda"/>
      </w:pPr>
      <w:bookmarkStart w:id="11" w:name="_Toc372711037"/>
      <w:r>
        <w:t>Cobrança mineira 2010 a 2013.</w:t>
      </w:r>
      <w:bookmarkEnd w:id="11"/>
    </w:p>
    <w:p w:rsidR="00AF3B34" w:rsidRDefault="00AF3B34" w:rsidP="00AF3B34">
      <w:pPr>
        <w:rPr>
          <w:rFonts w:ascii="Times New Roman" w:eastAsia="Times New Roman" w:hAnsi="Times New Roman"/>
          <w:color w:val="000000"/>
          <w:lang w:eastAsia="pt-BR"/>
        </w:rPr>
      </w:pPr>
      <w:r>
        <w:rPr>
          <w:rFonts w:ascii="Times New Roman" w:hAnsi="Times New Roman"/>
        </w:rPr>
        <w:t>Fonte: Fundação Agência das Bacias PCJ (2013)</w:t>
      </w:r>
    </w:p>
    <w:p w:rsidR="00AF3B34" w:rsidRDefault="00AF3B34" w:rsidP="00AF3B34">
      <w:pPr>
        <w:tabs>
          <w:tab w:val="left" w:pos="7010"/>
          <w:tab w:val="left" w:pos="8842"/>
        </w:tabs>
        <w:rPr>
          <w:rFonts w:ascii="Times New Roman" w:hAnsi="Times New Roman"/>
          <w:sz w:val="24"/>
          <w:szCs w:val="24"/>
        </w:rPr>
      </w:pPr>
    </w:p>
    <w:p w:rsidR="00AF3B34" w:rsidRDefault="00AF3B34" w:rsidP="00AF3B34">
      <w:pPr>
        <w:tabs>
          <w:tab w:val="left" w:pos="7010"/>
          <w:tab w:val="left" w:pos="8842"/>
        </w:tabs>
        <w:rPr>
          <w:rFonts w:ascii="Times New Roman" w:hAnsi="Times New Roman"/>
          <w:b/>
          <w:sz w:val="36"/>
          <w:szCs w:val="36"/>
        </w:rPr>
      </w:pPr>
      <w:r>
        <w:rPr>
          <w:rFonts w:ascii="Times New Roman" w:hAnsi="Times New Roman"/>
          <w:b/>
          <w:sz w:val="36"/>
          <w:szCs w:val="36"/>
        </w:rPr>
        <w:t>RESULTADOS</w:t>
      </w:r>
    </w:p>
    <w:p w:rsidR="00AF3B34" w:rsidRDefault="00AF3B34" w:rsidP="00AF3B34">
      <w:pPr>
        <w:tabs>
          <w:tab w:val="left" w:pos="7010"/>
          <w:tab w:val="left" w:pos="8842"/>
        </w:tabs>
        <w:rPr>
          <w:rFonts w:ascii="Times New Roman" w:hAnsi="Times New Roman"/>
          <w:b/>
          <w:sz w:val="36"/>
          <w:szCs w:val="36"/>
        </w:rPr>
      </w:pPr>
    </w:p>
    <w:p w:rsidR="00AF3B34" w:rsidRDefault="00AF3B34" w:rsidP="00AF3B34">
      <w:pPr>
        <w:tabs>
          <w:tab w:val="left" w:pos="7010"/>
          <w:tab w:val="left" w:pos="8842"/>
        </w:tabs>
        <w:rPr>
          <w:rFonts w:ascii="Times New Roman" w:hAnsi="Times New Roman"/>
          <w:sz w:val="24"/>
          <w:szCs w:val="24"/>
        </w:rPr>
      </w:pPr>
      <w:r>
        <w:rPr>
          <w:rFonts w:ascii="Times New Roman" w:hAnsi="Times New Roman"/>
          <w:sz w:val="24"/>
          <w:szCs w:val="24"/>
        </w:rPr>
        <w:t>Os dados observados de 2007 a 2012 demonstram um ritmo considerável na remoção de cargas nas bacias PCJ, sobretudo nos últimos anos. Mas observa-se, contudo, que o atendimento do patamar idealizado no “cenário desejável” para 2014 demanda ainda a remoção de cerca de 55 toneladas de DBO</w:t>
      </w:r>
      <w:r>
        <w:rPr>
          <w:rFonts w:ascii="Times New Roman" w:hAnsi="Times New Roman"/>
          <w:sz w:val="24"/>
          <w:szCs w:val="24"/>
          <w:vertAlign w:val="subscript"/>
        </w:rPr>
        <w:t>5,20/</w:t>
      </w:r>
      <w:r>
        <w:rPr>
          <w:rFonts w:ascii="Times New Roman" w:hAnsi="Times New Roman"/>
          <w:sz w:val="24"/>
          <w:szCs w:val="24"/>
        </w:rPr>
        <w:t>dia. Podemos deduzir, portanto, que para concretização deste cenário, será exigido nos próximos anos um ritmo ainda maior de remoção de cargas do que o observado até então.</w:t>
      </w:r>
    </w:p>
    <w:p w:rsidR="00AF3B34" w:rsidRDefault="00AF3B34" w:rsidP="00AF3B34">
      <w:pPr>
        <w:tabs>
          <w:tab w:val="left" w:pos="7010"/>
          <w:tab w:val="left" w:pos="8842"/>
        </w:tabs>
        <w:rPr>
          <w:rFonts w:ascii="Times New Roman" w:hAnsi="Times New Roman"/>
          <w:b/>
          <w:sz w:val="36"/>
          <w:szCs w:val="36"/>
        </w:rPr>
      </w:pPr>
    </w:p>
    <w:p w:rsidR="00AF3B34" w:rsidRDefault="00AF3B34" w:rsidP="00AF3B34">
      <w:pPr>
        <w:tabs>
          <w:tab w:val="left" w:pos="7010"/>
          <w:tab w:val="left" w:pos="8842"/>
        </w:tabs>
        <w:rPr>
          <w:rFonts w:ascii="Times New Roman" w:hAnsi="Times New Roman"/>
          <w:b/>
          <w:sz w:val="36"/>
          <w:szCs w:val="36"/>
        </w:rPr>
      </w:pPr>
    </w:p>
    <w:p w:rsidR="00AF3B34" w:rsidRDefault="00AF3B34" w:rsidP="00AF3B34">
      <w:pPr>
        <w:tabs>
          <w:tab w:val="left" w:pos="7010"/>
          <w:tab w:val="left" w:pos="8842"/>
        </w:tabs>
        <w:rPr>
          <w:rFonts w:ascii="Times New Roman" w:hAnsi="Times New Roman"/>
          <w:sz w:val="24"/>
          <w:szCs w:val="24"/>
        </w:rPr>
      </w:pPr>
      <w:r>
        <w:rPr>
          <w:rFonts w:ascii="Times New Roman" w:hAnsi="Times New Roman"/>
          <w:noProof/>
          <w:sz w:val="24"/>
          <w:szCs w:val="24"/>
          <w:lang w:eastAsia="pt-BR"/>
        </w:rPr>
        <w:lastRenderedPageBreak/>
        <w:drawing>
          <wp:inline distT="0" distB="0" distL="0" distR="0">
            <wp:extent cx="5948680" cy="3326130"/>
            <wp:effectExtent l="0" t="0" r="0" b="0"/>
            <wp:docPr id="9"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F3B34" w:rsidRDefault="00AF3B34" w:rsidP="00AF3B34">
      <w:pPr>
        <w:pStyle w:val="Legenda"/>
      </w:pPr>
      <w:bookmarkStart w:id="12" w:name="_Toc372711043"/>
      <w:r>
        <w:t>Ensaio comparativo entre cargas orgânicas domésticas observadas entre 2007 a 2012 nas Bacias PCJ e cenário desejável do Plano das Bacias PCJ 2010 a 2020.</w:t>
      </w:r>
      <w:bookmarkEnd w:id="12"/>
      <w:r>
        <w:t xml:space="preserve"> </w:t>
      </w:r>
    </w:p>
    <w:p w:rsidR="00AF3B34" w:rsidRDefault="00AF3B34" w:rsidP="00AF3B34">
      <w:pPr>
        <w:rPr>
          <w:rFonts w:ascii="Times New Roman" w:hAnsi="Times New Roman"/>
        </w:rPr>
      </w:pPr>
      <w:r>
        <w:rPr>
          <w:rFonts w:ascii="Times New Roman" w:hAnsi="Times New Roman"/>
        </w:rPr>
        <w:t>Fonte: Adaptado a partir dos Relatórios de Situação das Bacias PCJ (THESIS, 2010), (IRRIGART, 2005), Relatórios de Qualidade das Águas Interiores da Companhia Ambiental do Estado de São Paulo (CETESB 2007 a 2012) e Plano das Bacias PCJ 2010 a 2020 (COBRAPE, 2010).</w:t>
      </w:r>
    </w:p>
    <w:p w:rsidR="00AF3B34" w:rsidRDefault="00AF3B34" w:rsidP="00AF3B34">
      <w:pPr>
        <w:tabs>
          <w:tab w:val="left" w:pos="7010"/>
          <w:tab w:val="left" w:pos="8842"/>
        </w:tabs>
        <w:rPr>
          <w:rFonts w:ascii="Times New Roman" w:hAnsi="Times New Roman"/>
        </w:rPr>
      </w:pPr>
    </w:p>
    <w:p w:rsidR="00AF3B34" w:rsidRDefault="00AF3B34" w:rsidP="00AF3B34">
      <w:pPr>
        <w:tabs>
          <w:tab w:val="left" w:pos="7010"/>
          <w:tab w:val="left" w:pos="8842"/>
        </w:tabs>
        <w:rPr>
          <w:rFonts w:ascii="Times New Roman" w:hAnsi="Times New Roman"/>
        </w:rPr>
      </w:pPr>
    </w:p>
    <w:p w:rsidR="00AF3B34" w:rsidRDefault="00AF3B34" w:rsidP="00AF3B34">
      <w:pPr>
        <w:tabs>
          <w:tab w:val="left" w:pos="7010"/>
          <w:tab w:val="left" w:pos="8842"/>
        </w:tabs>
        <w:rPr>
          <w:rFonts w:ascii="Times New Roman" w:hAnsi="Times New Roman"/>
        </w:rPr>
      </w:pPr>
    </w:p>
    <w:p w:rsidR="00AF3B34" w:rsidRDefault="00AF3B34" w:rsidP="00AF3B34">
      <w:pPr>
        <w:rPr>
          <w:rFonts w:ascii="Times New Roman" w:hAnsi="Times New Roman"/>
          <w:i/>
          <w:sz w:val="24"/>
          <w:szCs w:val="24"/>
          <w:u w:val="single"/>
        </w:rPr>
      </w:pPr>
      <w:r>
        <w:rPr>
          <w:rFonts w:ascii="Times New Roman" w:hAnsi="Times New Roman"/>
          <w:i/>
          <w:sz w:val="24"/>
          <w:szCs w:val="24"/>
          <w:u w:val="single"/>
        </w:rPr>
        <w:t>Índice de Qualidade de Água</w:t>
      </w:r>
    </w:p>
    <w:p w:rsidR="00AF3B34" w:rsidRDefault="00AF3B34" w:rsidP="00AF3B34">
      <w:pPr>
        <w:spacing w:after="240"/>
        <w:rPr>
          <w:rFonts w:ascii="Times New Roman" w:hAnsi="Times New Roman"/>
          <w:sz w:val="24"/>
          <w:szCs w:val="24"/>
        </w:rPr>
      </w:pPr>
      <w:r>
        <w:rPr>
          <w:rFonts w:ascii="Times New Roman" w:hAnsi="Times New Roman"/>
          <w:sz w:val="24"/>
          <w:szCs w:val="24"/>
        </w:rPr>
        <w:t xml:space="preserve">O Índice de Qualidade de Água (IQA) demonstra o nível de qualidade de água doce que um corpo hídrico apresenta. Ele é calculado com base no monitoramento realizado pelos órgãos responsáveis e pode variar de 0 (zero) a 100 (cem). Sua determinação é definida através de equacionamento matemático que considera as seguintes variáveis: turbidez, resíduos totais, fósforo, temperatura, pH, oxigênio dissolvido (OD), demanda bioquímica de oxigênio (DBO), coliformes fecais e nitrogênio. Quanto maior o valor obtido do IQA, melhor é a qualidade da água. Segue na </w:t>
      </w:r>
      <w:r>
        <w:rPr>
          <w:rFonts w:ascii="Times New Roman" w:hAnsi="Times New Roman"/>
          <w:sz w:val="24"/>
          <w:szCs w:val="24"/>
          <w:highlight w:val="yellow"/>
        </w:rPr>
        <w:t>Figura 34 a</w:t>
      </w:r>
      <w:r>
        <w:rPr>
          <w:rFonts w:ascii="Times New Roman" w:hAnsi="Times New Roman"/>
          <w:sz w:val="24"/>
          <w:szCs w:val="24"/>
        </w:rPr>
        <w:t xml:space="preserve"> classificação dos pontos de amostragem das Bacias PCJ.</w:t>
      </w:r>
    </w:p>
    <w:p w:rsidR="00AF3B34" w:rsidRDefault="00AF3B34" w:rsidP="00AF3B34">
      <w:pPr>
        <w:rPr>
          <w:rFonts w:ascii="Times New Roman" w:hAnsi="Times New Roman"/>
          <w:sz w:val="24"/>
          <w:szCs w:val="24"/>
        </w:rPr>
      </w:pPr>
      <w:r>
        <w:rPr>
          <w:rFonts w:ascii="Times New Roman" w:hAnsi="Times New Roman"/>
          <w:sz w:val="24"/>
          <w:szCs w:val="24"/>
        </w:rPr>
        <w:t xml:space="preserve">Com base nos dados publicados pela CETESB, pode-se observar que houve um aumento significativo na frequência de pontos com valor considerado “bom” nas Bacias PCJ. A frequência de pontos nas categorias “péssimo”, “ruim” e “regular” apresenta certa variação, mas, de maneira geral, sugere-se uma melhora no período. Devemos associar esta melhora às iniciativas empreendidas pelos diversos atores das bacias PCJ </w:t>
      </w:r>
      <w:r>
        <w:rPr>
          <w:rFonts w:ascii="Times New Roman" w:hAnsi="Times New Roman"/>
          <w:sz w:val="24"/>
          <w:szCs w:val="24"/>
        </w:rPr>
        <w:lastRenderedPageBreak/>
        <w:t>visando à recuperação da qualidade da água. Haja vista a maior intensidade das chuvas em 2009, podemos associar a relativa piora neste ano à poluição difusa (que é trazida indiretamente pelas águas das chuvas).</w:t>
      </w:r>
    </w:p>
    <w:p w:rsidR="00AF3B34" w:rsidRDefault="00AF3B34" w:rsidP="00AF3B34">
      <w:pPr>
        <w:rPr>
          <w:rFonts w:ascii="Times New Roman" w:hAnsi="Times New Roman"/>
          <w:sz w:val="24"/>
          <w:szCs w:val="24"/>
        </w:rPr>
      </w:pPr>
    </w:p>
    <w:p w:rsidR="00AF3B34" w:rsidRDefault="00AF3B34" w:rsidP="00AF3B34">
      <w:pPr>
        <w:spacing w:after="240"/>
        <w:rPr>
          <w:rFonts w:ascii="Times New Roman" w:hAnsi="Times New Roman"/>
          <w:sz w:val="24"/>
          <w:szCs w:val="24"/>
        </w:rPr>
      </w:pPr>
      <w:r>
        <w:rPr>
          <w:rFonts w:ascii="Times New Roman" w:hAnsi="Times New Roman"/>
          <w:noProof/>
          <w:sz w:val="24"/>
          <w:szCs w:val="24"/>
          <w:lang w:eastAsia="pt-BR"/>
        </w:rPr>
        <w:drawing>
          <wp:inline distT="0" distB="0" distL="0" distR="0">
            <wp:extent cx="6109335" cy="3054985"/>
            <wp:effectExtent l="0" t="0" r="0" b="0"/>
            <wp:docPr id="10"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F3B34" w:rsidRDefault="00AF3B34" w:rsidP="00AF3B34">
      <w:pPr>
        <w:pStyle w:val="Legenda"/>
      </w:pPr>
      <w:bookmarkStart w:id="13" w:name="_Toc372711044"/>
      <w:r>
        <w:t>Figura 34 – Frequência do IQA para as Bacias PCJ de 2000 a 2012.</w:t>
      </w:r>
      <w:bookmarkEnd w:id="13"/>
      <w:r>
        <w:t xml:space="preserve"> </w:t>
      </w:r>
    </w:p>
    <w:p w:rsidR="00AF3B34" w:rsidRDefault="00AF3B34" w:rsidP="00AF3B34">
      <w:pPr>
        <w:ind w:left="709" w:hanging="709"/>
        <w:rPr>
          <w:rFonts w:ascii="Times New Roman" w:hAnsi="Times New Roman"/>
        </w:rPr>
      </w:pPr>
      <w:r>
        <w:rPr>
          <w:rFonts w:ascii="Times New Roman" w:hAnsi="Times New Roman"/>
        </w:rPr>
        <w:t>Fontes: Extraído de CETESB (2001 a 2013).</w:t>
      </w:r>
    </w:p>
    <w:p w:rsidR="00AF3B34" w:rsidRDefault="00AF3B34" w:rsidP="00AF3B34">
      <w:pPr>
        <w:tabs>
          <w:tab w:val="left" w:pos="7010"/>
          <w:tab w:val="left" w:pos="8842"/>
        </w:tabs>
        <w:rPr>
          <w:rFonts w:ascii="Times New Roman" w:hAnsi="Times New Roman"/>
        </w:rPr>
      </w:pPr>
    </w:p>
    <w:p w:rsidR="00AF3B34" w:rsidRDefault="00F062C2" w:rsidP="00AF3B34">
      <w:pPr>
        <w:tabs>
          <w:tab w:val="left" w:pos="7010"/>
          <w:tab w:val="left" w:pos="8842"/>
        </w:tabs>
        <w:rPr>
          <w:rFonts w:ascii="Times New Roman" w:hAnsi="Times New Roman"/>
        </w:rPr>
      </w:pPr>
      <w:r>
        <w:rPr>
          <w:rFonts w:ascii="Times New Roman" w:hAnsi="Times New Roman"/>
        </w:rPr>
        <w:t>É o parecer, S.M.J.,</w:t>
      </w:r>
    </w:p>
    <w:p w:rsidR="00F062C2" w:rsidRDefault="00F062C2" w:rsidP="00AF3B34">
      <w:pPr>
        <w:tabs>
          <w:tab w:val="left" w:pos="7010"/>
          <w:tab w:val="left" w:pos="8842"/>
        </w:tabs>
        <w:rPr>
          <w:rFonts w:ascii="Times New Roman" w:hAnsi="Times New Roman"/>
        </w:rPr>
      </w:pPr>
    </w:p>
    <w:p w:rsidR="00F062C2" w:rsidRPr="00F062C2" w:rsidRDefault="00F062C2" w:rsidP="00F062C2">
      <w:pPr>
        <w:tabs>
          <w:tab w:val="left" w:pos="7010"/>
          <w:tab w:val="left" w:pos="8842"/>
        </w:tabs>
        <w:jc w:val="center"/>
        <w:rPr>
          <w:rFonts w:ascii="Times New Roman" w:hAnsi="Times New Roman"/>
          <w:i/>
        </w:rPr>
      </w:pPr>
      <w:r w:rsidRPr="00F062C2">
        <w:rPr>
          <w:rFonts w:ascii="Times New Roman" w:hAnsi="Times New Roman"/>
          <w:i/>
        </w:rPr>
        <w:t>ASSESSORIA JURÍDICA – CONSÓRCIO PCJ</w:t>
      </w:r>
    </w:p>
    <w:p w:rsidR="00AF3B34" w:rsidRDefault="00AF3B34" w:rsidP="00AF3B34">
      <w:pPr>
        <w:tabs>
          <w:tab w:val="left" w:pos="7010"/>
          <w:tab w:val="left" w:pos="8842"/>
        </w:tabs>
        <w:rPr>
          <w:rFonts w:ascii="Times New Roman" w:hAnsi="Times New Roman"/>
        </w:rPr>
      </w:pPr>
    </w:p>
    <w:p w:rsidR="00AF3B34" w:rsidRDefault="00AF3B34" w:rsidP="00AF3B34">
      <w:pPr>
        <w:tabs>
          <w:tab w:val="left" w:pos="7010"/>
          <w:tab w:val="left" w:pos="8842"/>
        </w:tabs>
        <w:rPr>
          <w:rFonts w:ascii="Times New Roman" w:hAnsi="Times New Roman"/>
        </w:rPr>
      </w:pPr>
    </w:p>
    <w:p w:rsidR="00AF3B34" w:rsidRDefault="00AF3B34" w:rsidP="00AF3B34">
      <w:pPr>
        <w:tabs>
          <w:tab w:val="left" w:pos="7010"/>
          <w:tab w:val="left" w:pos="8842"/>
        </w:tabs>
        <w:rPr>
          <w:rFonts w:ascii="Times New Roman" w:hAnsi="Times New Roman"/>
        </w:rPr>
      </w:pPr>
    </w:p>
    <w:p w:rsidR="00AF3B34" w:rsidRDefault="00AF3B34" w:rsidP="00AF3B34">
      <w:pPr>
        <w:tabs>
          <w:tab w:val="left" w:pos="7010"/>
          <w:tab w:val="left" w:pos="8842"/>
        </w:tabs>
        <w:rPr>
          <w:rFonts w:ascii="Times New Roman" w:hAnsi="Times New Roman"/>
        </w:rPr>
      </w:pPr>
    </w:p>
    <w:p w:rsidR="00AF3B34" w:rsidRDefault="00AF3B34" w:rsidP="00AF3B34">
      <w:pPr>
        <w:tabs>
          <w:tab w:val="left" w:pos="7010"/>
          <w:tab w:val="left" w:pos="8842"/>
        </w:tabs>
        <w:rPr>
          <w:rFonts w:ascii="Times New Roman" w:hAnsi="Times New Roman"/>
        </w:rPr>
      </w:pPr>
    </w:p>
    <w:p w:rsidR="00AF3B34" w:rsidRDefault="00AF3B34" w:rsidP="00AF3B34">
      <w:pPr>
        <w:tabs>
          <w:tab w:val="left" w:pos="7010"/>
          <w:tab w:val="left" w:pos="8842"/>
        </w:tabs>
        <w:rPr>
          <w:rFonts w:ascii="Times New Roman" w:hAnsi="Times New Roman"/>
        </w:rPr>
      </w:pPr>
    </w:p>
    <w:p w:rsidR="00AF3B34" w:rsidRDefault="00AF3B34" w:rsidP="00AF3B34">
      <w:pPr>
        <w:tabs>
          <w:tab w:val="left" w:pos="7010"/>
          <w:tab w:val="left" w:pos="8842"/>
        </w:tabs>
        <w:rPr>
          <w:rFonts w:ascii="Times New Roman" w:hAnsi="Times New Roman"/>
        </w:rPr>
      </w:pPr>
    </w:p>
    <w:p w:rsidR="00AF3B34" w:rsidRDefault="00AF3B34" w:rsidP="00AF3B34">
      <w:pPr>
        <w:tabs>
          <w:tab w:val="left" w:pos="7010"/>
          <w:tab w:val="left" w:pos="8842"/>
        </w:tabs>
        <w:rPr>
          <w:rFonts w:ascii="Times New Roman" w:hAnsi="Times New Roman"/>
        </w:rPr>
      </w:pPr>
    </w:p>
    <w:p w:rsidR="00AF3B34" w:rsidRDefault="00AF3B34" w:rsidP="00AF3B34">
      <w:pPr>
        <w:tabs>
          <w:tab w:val="left" w:pos="7010"/>
          <w:tab w:val="left" w:pos="8842"/>
        </w:tabs>
        <w:rPr>
          <w:rFonts w:ascii="Times New Roman" w:hAnsi="Times New Roman"/>
        </w:rPr>
      </w:pPr>
    </w:p>
    <w:p w:rsidR="00AF3B34" w:rsidRDefault="00AF3B34" w:rsidP="00AF3B34">
      <w:pPr>
        <w:tabs>
          <w:tab w:val="left" w:pos="7010"/>
          <w:tab w:val="left" w:pos="8842"/>
        </w:tabs>
        <w:rPr>
          <w:rFonts w:ascii="Times New Roman" w:hAnsi="Times New Roman"/>
        </w:rPr>
      </w:pPr>
    </w:p>
    <w:p w:rsidR="00AF3B34" w:rsidRDefault="00AF3B34" w:rsidP="00AF3B34">
      <w:pPr>
        <w:rPr>
          <w:sz w:val="28"/>
          <w:szCs w:val="28"/>
        </w:rPr>
      </w:pPr>
    </w:p>
    <w:p w:rsidR="00AF3B34" w:rsidRDefault="00AF3B34" w:rsidP="00AF3B34">
      <w:pPr>
        <w:rPr>
          <w:sz w:val="28"/>
          <w:szCs w:val="28"/>
        </w:rPr>
      </w:pPr>
    </w:p>
    <w:p w:rsidR="00AF3B34" w:rsidRDefault="00AF3B34" w:rsidP="00AF3B34">
      <w:pPr>
        <w:rPr>
          <w:sz w:val="28"/>
          <w:szCs w:val="28"/>
        </w:rPr>
      </w:pPr>
    </w:p>
    <w:p w:rsidR="00AF3B34" w:rsidRPr="00632230" w:rsidRDefault="00AF3B34" w:rsidP="000C56D9">
      <w:pPr>
        <w:spacing w:after="0" w:line="240" w:lineRule="auto"/>
        <w:jc w:val="center"/>
        <w:rPr>
          <w:b/>
          <w:i/>
        </w:rPr>
      </w:pPr>
    </w:p>
    <w:sectPr w:rsidR="00AF3B34" w:rsidRPr="00632230" w:rsidSect="00A129CE">
      <w:footerReference w:type="default" r:id="rId1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1A7" w:rsidRDefault="00CE61A7" w:rsidP="00B56389">
      <w:pPr>
        <w:spacing w:after="0" w:line="240" w:lineRule="auto"/>
      </w:pPr>
      <w:r>
        <w:separator/>
      </w:r>
    </w:p>
  </w:endnote>
  <w:endnote w:type="continuationSeparator" w:id="1">
    <w:p w:rsidR="00CE61A7" w:rsidRDefault="00CE61A7" w:rsidP="00B563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82925"/>
      <w:docPartObj>
        <w:docPartGallery w:val="Page Numbers (Bottom of Page)"/>
        <w:docPartUnique/>
      </w:docPartObj>
    </w:sdtPr>
    <w:sdtContent>
      <w:p w:rsidR="00AF3B34" w:rsidRDefault="00542D50">
        <w:pPr>
          <w:pStyle w:val="Rodap"/>
          <w:jc w:val="right"/>
        </w:pPr>
        <w:fldSimple w:instr=" PAGE   \* MERGEFORMAT ">
          <w:r w:rsidR="00F062C2">
            <w:rPr>
              <w:noProof/>
            </w:rPr>
            <w:t>27</w:t>
          </w:r>
        </w:fldSimple>
      </w:p>
    </w:sdtContent>
  </w:sdt>
  <w:p w:rsidR="00AF3B34" w:rsidRDefault="00AF3B3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1A7" w:rsidRDefault="00CE61A7" w:rsidP="00B56389">
      <w:pPr>
        <w:spacing w:after="0" w:line="240" w:lineRule="auto"/>
      </w:pPr>
      <w:r>
        <w:separator/>
      </w:r>
    </w:p>
  </w:footnote>
  <w:footnote w:type="continuationSeparator" w:id="1">
    <w:p w:rsidR="00CE61A7" w:rsidRDefault="00CE61A7" w:rsidP="00B5638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footnotePr>
    <w:footnote w:id="0"/>
    <w:footnote w:id="1"/>
  </w:footnotePr>
  <w:endnotePr>
    <w:endnote w:id="0"/>
    <w:endnote w:id="1"/>
  </w:endnotePr>
  <w:compat/>
  <w:rsids>
    <w:rsidRoot w:val="00A02814"/>
    <w:rsid w:val="0002394C"/>
    <w:rsid w:val="000A053E"/>
    <w:rsid w:val="000A6C45"/>
    <w:rsid w:val="000C17F2"/>
    <w:rsid w:val="000C56D9"/>
    <w:rsid w:val="0013587F"/>
    <w:rsid w:val="00162620"/>
    <w:rsid w:val="001B0906"/>
    <w:rsid w:val="001D635A"/>
    <w:rsid w:val="001F2F4B"/>
    <w:rsid w:val="001F702C"/>
    <w:rsid w:val="00223F92"/>
    <w:rsid w:val="0024307B"/>
    <w:rsid w:val="002A223E"/>
    <w:rsid w:val="002E4A63"/>
    <w:rsid w:val="00305C01"/>
    <w:rsid w:val="0030799E"/>
    <w:rsid w:val="003328BB"/>
    <w:rsid w:val="00346CF7"/>
    <w:rsid w:val="00381211"/>
    <w:rsid w:val="00407EC3"/>
    <w:rsid w:val="0046291D"/>
    <w:rsid w:val="00467D98"/>
    <w:rsid w:val="00542D50"/>
    <w:rsid w:val="0055729B"/>
    <w:rsid w:val="00575C00"/>
    <w:rsid w:val="005960EC"/>
    <w:rsid w:val="005E63D8"/>
    <w:rsid w:val="00632230"/>
    <w:rsid w:val="00661A39"/>
    <w:rsid w:val="00674454"/>
    <w:rsid w:val="006953B1"/>
    <w:rsid w:val="006A642E"/>
    <w:rsid w:val="00745ED7"/>
    <w:rsid w:val="008020A8"/>
    <w:rsid w:val="0084775B"/>
    <w:rsid w:val="00914CAF"/>
    <w:rsid w:val="0095426F"/>
    <w:rsid w:val="00A02814"/>
    <w:rsid w:val="00A129CE"/>
    <w:rsid w:val="00A42334"/>
    <w:rsid w:val="00AD4BCB"/>
    <w:rsid w:val="00AF3B34"/>
    <w:rsid w:val="00B347FC"/>
    <w:rsid w:val="00B56389"/>
    <w:rsid w:val="00B90152"/>
    <w:rsid w:val="00BA3BEB"/>
    <w:rsid w:val="00BA3F45"/>
    <w:rsid w:val="00C5779F"/>
    <w:rsid w:val="00C63863"/>
    <w:rsid w:val="00C67BAB"/>
    <w:rsid w:val="00CD430E"/>
    <w:rsid w:val="00CE61A7"/>
    <w:rsid w:val="00D1263D"/>
    <w:rsid w:val="00D219F0"/>
    <w:rsid w:val="00D95DA6"/>
    <w:rsid w:val="00DA6AAC"/>
    <w:rsid w:val="00E02883"/>
    <w:rsid w:val="00E25121"/>
    <w:rsid w:val="00F062C2"/>
    <w:rsid w:val="00F55C22"/>
    <w:rsid w:val="00FE4E20"/>
    <w:rsid w:val="00FF3DB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9CE"/>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4307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4307B"/>
    <w:rPr>
      <w:b/>
      <w:bCs/>
    </w:rPr>
  </w:style>
  <w:style w:type="character" w:customStyle="1" w:styleId="apple-converted-space">
    <w:name w:val="apple-converted-space"/>
    <w:basedOn w:val="Fontepargpadro"/>
    <w:rsid w:val="0024307B"/>
  </w:style>
  <w:style w:type="character" w:styleId="Hyperlink">
    <w:name w:val="Hyperlink"/>
    <w:basedOn w:val="Fontepargpadro"/>
    <w:uiPriority w:val="99"/>
    <w:semiHidden/>
    <w:unhideWhenUsed/>
    <w:rsid w:val="00305C01"/>
    <w:rPr>
      <w:color w:val="0000FF"/>
      <w:u w:val="single"/>
    </w:rPr>
  </w:style>
  <w:style w:type="paragraph" w:styleId="Cabealho">
    <w:name w:val="header"/>
    <w:basedOn w:val="Normal"/>
    <w:link w:val="CabealhoChar"/>
    <w:uiPriority w:val="99"/>
    <w:semiHidden/>
    <w:unhideWhenUsed/>
    <w:rsid w:val="00B56389"/>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B56389"/>
  </w:style>
  <w:style w:type="paragraph" w:styleId="Rodap">
    <w:name w:val="footer"/>
    <w:basedOn w:val="Normal"/>
    <w:link w:val="RodapChar"/>
    <w:uiPriority w:val="99"/>
    <w:unhideWhenUsed/>
    <w:rsid w:val="00B56389"/>
    <w:pPr>
      <w:tabs>
        <w:tab w:val="center" w:pos="4252"/>
        <w:tab w:val="right" w:pos="8504"/>
      </w:tabs>
      <w:spacing w:after="0" w:line="240" w:lineRule="auto"/>
    </w:pPr>
  </w:style>
  <w:style w:type="character" w:customStyle="1" w:styleId="RodapChar">
    <w:name w:val="Rodapé Char"/>
    <w:basedOn w:val="Fontepargpadro"/>
    <w:link w:val="Rodap"/>
    <w:uiPriority w:val="99"/>
    <w:rsid w:val="00B56389"/>
  </w:style>
  <w:style w:type="character" w:customStyle="1" w:styleId="TextodebaloChar">
    <w:name w:val="Texto de balão Char"/>
    <w:basedOn w:val="Fontepargpadro"/>
    <w:link w:val="Textodebalo"/>
    <w:uiPriority w:val="99"/>
    <w:semiHidden/>
    <w:rsid w:val="00AF3B34"/>
    <w:rPr>
      <w:rFonts w:ascii="Tahoma" w:hAnsi="Tahoma" w:cs="Tahoma"/>
      <w:sz w:val="16"/>
      <w:szCs w:val="16"/>
    </w:rPr>
  </w:style>
  <w:style w:type="paragraph" w:styleId="Textodebalo">
    <w:name w:val="Balloon Text"/>
    <w:basedOn w:val="Normal"/>
    <w:link w:val="TextodebaloChar"/>
    <w:uiPriority w:val="99"/>
    <w:semiHidden/>
    <w:unhideWhenUsed/>
    <w:rsid w:val="00AF3B34"/>
    <w:pPr>
      <w:spacing w:after="0" w:line="240" w:lineRule="auto"/>
      <w:jc w:val="both"/>
    </w:pPr>
    <w:rPr>
      <w:rFonts w:ascii="Tahoma" w:hAnsi="Tahoma" w:cs="Tahoma"/>
      <w:sz w:val="16"/>
      <w:szCs w:val="16"/>
    </w:rPr>
  </w:style>
  <w:style w:type="paragraph" w:styleId="Legenda">
    <w:name w:val="caption"/>
    <w:basedOn w:val="Normal"/>
    <w:next w:val="Normal"/>
    <w:autoRedefine/>
    <w:uiPriority w:val="35"/>
    <w:unhideWhenUsed/>
    <w:qFormat/>
    <w:rsid w:val="00AF3B34"/>
    <w:pPr>
      <w:shd w:val="clear" w:color="auto" w:fill="FFFFFF"/>
      <w:spacing w:after="0" w:line="240" w:lineRule="auto"/>
    </w:pPr>
    <w:rPr>
      <w:rFonts w:ascii="Times New Roman" w:eastAsia="Calibri" w:hAnsi="Times New Roman" w:cs="Times New Roman"/>
      <w:bCs/>
      <w:sz w:val="24"/>
      <w:szCs w:val="24"/>
      <w:lang w:eastAsia="pt-BR"/>
    </w:rPr>
  </w:style>
  <w:style w:type="paragraph" w:styleId="PargrafodaLista">
    <w:name w:val="List Paragraph"/>
    <w:basedOn w:val="Normal"/>
    <w:uiPriority w:val="34"/>
    <w:qFormat/>
    <w:rsid w:val="00AF3B34"/>
    <w:pPr>
      <w:spacing w:after="0" w:line="360" w:lineRule="auto"/>
      <w:ind w:left="720" w:right="-74"/>
      <w:contextualSpacing/>
      <w:jc w:val="both"/>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352148463">
      <w:bodyDiv w:val="1"/>
      <w:marLeft w:val="0"/>
      <w:marRight w:val="0"/>
      <w:marTop w:val="0"/>
      <w:marBottom w:val="0"/>
      <w:divBdr>
        <w:top w:val="none" w:sz="0" w:space="0" w:color="auto"/>
        <w:left w:val="none" w:sz="0" w:space="0" w:color="auto"/>
        <w:bottom w:val="none" w:sz="0" w:space="0" w:color="auto"/>
        <w:right w:val="none" w:sz="0" w:space="0" w:color="auto"/>
      </w:divBdr>
    </w:div>
    <w:div w:id="617761473">
      <w:bodyDiv w:val="1"/>
      <w:marLeft w:val="0"/>
      <w:marRight w:val="0"/>
      <w:marTop w:val="0"/>
      <w:marBottom w:val="0"/>
      <w:divBdr>
        <w:top w:val="none" w:sz="0" w:space="0" w:color="auto"/>
        <w:left w:val="none" w:sz="0" w:space="0" w:color="auto"/>
        <w:bottom w:val="none" w:sz="0" w:space="0" w:color="auto"/>
        <w:right w:val="none" w:sz="0" w:space="0" w:color="auto"/>
      </w:divBdr>
    </w:div>
    <w:div w:id="1202130527">
      <w:bodyDiv w:val="1"/>
      <w:marLeft w:val="0"/>
      <w:marRight w:val="0"/>
      <w:marTop w:val="0"/>
      <w:marBottom w:val="0"/>
      <w:divBdr>
        <w:top w:val="none" w:sz="0" w:space="0" w:color="auto"/>
        <w:left w:val="none" w:sz="0" w:space="0" w:color="auto"/>
        <w:bottom w:val="none" w:sz="0" w:space="0" w:color="auto"/>
        <w:right w:val="none" w:sz="0" w:space="0" w:color="auto"/>
      </w:divBdr>
    </w:div>
    <w:div w:id="164365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3.png"/><Relationship Id="rId18" Type="http://schemas.openxmlformats.org/officeDocument/2006/relationships/chart" Target="charts/chart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planalto.gov.br/ccivil_03/_Ato2007-2010/2010/Lei/L12376.htm" TargetMode="External"/><Relationship Id="rId12" Type="http://schemas.openxmlformats.org/officeDocument/2006/relationships/image" Target="media/image2.png"/><Relationship Id="rId17" Type="http://schemas.openxmlformats.org/officeDocument/2006/relationships/chart" Target="charts/chart6.xml"/><Relationship Id="rId2" Type="http://schemas.openxmlformats.org/officeDocument/2006/relationships/styles" Target="styles.xml"/><Relationship Id="rId16" Type="http://schemas.openxmlformats.org/officeDocument/2006/relationships/chart" Target="charts/chart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chart" Target="charts/chart4.xml"/><Relationship Id="rId10" Type="http://schemas.openxmlformats.org/officeDocument/2006/relationships/hyperlink" Target="http://www.pecege.esalq.usp.br/porta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oleObject" Target="file:///\\servidorpcj\f\Patricia\ct-cob\Evolucao%20Impacto%20agencia%20pcj_vleo_07_05_13.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servidorpcj\f\Patricia\ct-cob\Evolucao%20Impacto%20agencia%20pcj_vleo_07_05_13.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patricia\Desktop\ct-cob\RESUMO-PROCESSOS-FEHIDRO-COBRANCA_DESDE94_Elaine_25_11_11-atual.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patricia\Desktop\ct-cob\RESUMO-PROCESSOS-FEHIDRO-COBRANCA_DESDE94_Elaine_25_11_11-atual.xls"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patricia\Desktop\ct-cob\RESUMO-PROCESSOS-FEHIDRO-COBRANCA_DESDE94_Elaine_25_11_11-atual.xls"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SERVIDOR1\sistema_informa&#231;&#245;es\Indicadores%20Bacias%20PCJ\C&#225;lculo%20Carga%20Remanescente\calculo_remanescente%20CARGA%20ORG&#194;NICA%20s&#233;rie%20hist&#243;rica_v10%20abrh.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SERVIDOR1\sistema_informa&#231;&#245;es\Indicadores%20Bacias%20PCJ\Indices%20de%20Qualidade\s&#233;rie%20hist&#243;rica%202000-2012%20(IQA%20IAP%20IVA%20IET)%20_trabalho%20abrh.xls"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t-BR"/>
  <c:clrMapOvr bg1="lt1" tx1="dk1" bg2="lt2" tx2="dk2" accent1="accent1" accent2="accent2" accent3="accent3" accent4="accent4" accent5="accent5" accent6="accent6" hlink="hlink" folHlink="folHlink"/>
  <c:chart>
    <c:title>
      <c:tx>
        <c:rich>
          <a:bodyPr/>
          <a:lstStyle/>
          <a:p>
            <a:pPr>
              <a:defRPr/>
            </a:pPr>
            <a:r>
              <a:rPr lang="pt-BR" sz="1400" b="1" i="0" baseline="0">
                <a:effectLst/>
              </a:rPr>
              <a:t>Cobrança Total / Receita Operacional Total (em %)</a:t>
            </a:r>
            <a:endParaRPr lang="pt-BR" sz="1400">
              <a:effectLst/>
            </a:endParaRPr>
          </a:p>
        </c:rich>
      </c:tx>
    </c:title>
    <c:plotArea>
      <c:layout/>
      <c:barChart>
        <c:barDir val="col"/>
        <c:grouping val="clustered"/>
        <c:ser>
          <c:idx val="1"/>
          <c:order val="0"/>
          <c:tx>
            <c:strRef>
              <c:f>'Dados Graf Est'!$A$3</c:f>
              <c:strCache>
                <c:ptCount val="1"/>
                <c:pt idx="0">
                  <c:v>2007</c:v>
                </c:pt>
              </c:strCache>
            </c:strRef>
          </c:tx>
          <c:spPr>
            <a:solidFill>
              <a:schemeClr val="tx1">
                <a:lumMod val="95000"/>
                <a:lumOff val="5000"/>
              </a:schemeClr>
            </a:solidFill>
          </c:spPr>
          <c:cat>
            <c:strRef>
              <c:f>'Dados Graf Est'!$B$2:$AH$2</c:f>
              <c:strCache>
                <c:ptCount val="33"/>
                <c:pt idx="0">
                  <c:v>CODEN Nova Odessa</c:v>
                </c:pt>
                <c:pt idx="1">
                  <c:v>DAAE Rio Claro</c:v>
                </c:pt>
                <c:pt idx="2">
                  <c:v>SAAE Capivari</c:v>
                </c:pt>
                <c:pt idx="3">
                  <c:v>SAAE Codeirópolis</c:v>
                </c:pt>
                <c:pt idx="4">
                  <c:v>SAAE Indaiatuba</c:v>
                </c:pt>
                <c:pt idx="5">
                  <c:v>SAAE Rio das Pedras</c:v>
                </c:pt>
                <c:pt idx="6">
                  <c:v>SAAE Salto</c:v>
                </c:pt>
                <c:pt idx="7">
                  <c:v>SAAE São Pedro</c:v>
                </c:pt>
                <c:pt idx="8">
                  <c:v> SAEAN Artur Nogueira</c:v>
                </c:pt>
                <c:pt idx="9">
                  <c:v>SANEBAVI Vinhedo</c:v>
                </c:pt>
                <c:pt idx="10">
                  <c:v>DAE Holambra</c:v>
                </c:pt>
                <c:pt idx="11">
                  <c:v>Prefeitura Ipeúna</c:v>
                </c:pt>
                <c:pt idx="12">
                  <c:v>Prefeitura Iracemápolis</c:v>
                </c:pt>
                <c:pt idx="13">
                  <c:v>Prefeitura Louveira</c:v>
                </c:pt>
                <c:pt idx="14">
                  <c:v>Prefeitura Rafard</c:v>
                </c:pt>
                <c:pt idx="15">
                  <c:v>Prefeitura Saltinho</c:v>
                </c:pt>
                <c:pt idx="16">
                  <c:v>Prefeitura Santa Gertrudes</c:v>
                </c:pt>
                <c:pt idx="17">
                  <c:v>Prefeitura Santo Antônio de Posse</c:v>
                </c:pt>
                <c:pt idx="18">
                  <c:v>SABESP Charqueada</c:v>
                </c:pt>
                <c:pt idx="19">
                  <c:v>SABESP Cabreúva</c:v>
                </c:pt>
                <c:pt idx="20">
                  <c:v>SABESP Elias Fausto</c:v>
                </c:pt>
                <c:pt idx="21">
                  <c:v>SABESP Campo Limpo Paulista</c:v>
                </c:pt>
                <c:pt idx="22">
                  <c:v>SABESP Itupeva</c:v>
                </c:pt>
                <c:pt idx="23">
                  <c:v>SABESP Jarinu</c:v>
                </c:pt>
                <c:pt idx="24">
                  <c:v>SABESP Joanópolis</c:v>
                </c:pt>
                <c:pt idx="25">
                  <c:v>SABESP Mairiporã</c:v>
                </c:pt>
                <c:pt idx="26">
                  <c:v>SABESP Mombuca</c:v>
                </c:pt>
                <c:pt idx="27">
                  <c:v>SABESP Morungaba</c:v>
                </c:pt>
                <c:pt idx="28">
                  <c:v>SABESP Pedra Bela</c:v>
                </c:pt>
                <c:pt idx="29">
                  <c:v>SABESP Pinhalzinho</c:v>
                </c:pt>
                <c:pt idx="30">
                  <c:v>SABESP Águas de São Pedro</c:v>
                </c:pt>
                <c:pt idx="31">
                  <c:v>SABESP Vargem</c:v>
                </c:pt>
                <c:pt idx="32">
                  <c:v>SABESP Várzea Paulista</c:v>
                </c:pt>
              </c:strCache>
            </c:strRef>
          </c:cat>
          <c:val>
            <c:numRef>
              <c:f>'Dados Graf Est'!$B$3:$AH$3</c:f>
              <c:numCache>
                <c:formatCode>0.00%</c:formatCode>
                <c:ptCount val="33"/>
                <c:pt idx="0">
                  <c:v>1.8663406555572241E-2</c:v>
                </c:pt>
                <c:pt idx="1">
                  <c:v>2.7281203916702433E-2</c:v>
                </c:pt>
                <c:pt idx="2">
                  <c:v>3.373904604101545E-2</c:v>
                </c:pt>
                <c:pt idx="3">
                  <c:v>0</c:v>
                </c:pt>
                <c:pt idx="4">
                  <c:v>2.0502551223616588E-2</c:v>
                </c:pt>
                <c:pt idx="5">
                  <c:v>2.6708799723736791E-2</c:v>
                </c:pt>
                <c:pt idx="6">
                  <c:v>2.5013069554756046E-2</c:v>
                </c:pt>
                <c:pt idx="7">
                  <c:v>2.4944194011324194E-2</c:v>
                </c:pt>
                <c:pt idx="8">
                  <c:v>3.3984379322174296E-2</c:v>
                </c:pt>
                <c:pt idx="9">
                  <c:v>1.2578101233340381E-2</c:v>
                </c:pt>
                <c:pt idx="10">
                  <c:v>1.8587089503204268E-2</c:v>
                </c:pt>
                <c:pt idx="11">
                  <c:v>0</c:v>
                </c:pt>
                <c:pt idx="12">
                  <c:v>0</c:v>
                </c:pt>
                <c:pt idx="13">
                  <c:v>4.7191542235989856E-2</c:v>
                </c:pt>
                <c:pt idx="14">
                  <c:v>7.3134050961896513E-2</c:v>
                </c:pt>
                <c:pt idx="15">
                  <c:v>0</c:v>
                </c:pt>
                <c:pt idx="16">
                  <c:v>0</c:v>
                </c:pt>
                <c:pt idx="17">
                  <c:v>0.12009198186932302</c:v>
                </c:pt>
                <c:pt idx="18">
                  <c:v>0</c:v>
                </c:pt>
                <c:pt idx="19">
                  <c:v>1.35908926202532E-2</c:v>
                </c:pt>
                <c:pt idx="20">
                  <c:v>1.4083575000564279E-2</c:v>
                </c:pt>
                <c:pt idx="21">
                  <c:v>2.0174768806304016E-2</c:v>
                </c:pt>
                <c:pt idx="22">
                  <c:v>1.5775278087733803E-2</c:v>
                </c:pt>
                <c:pt idx="23">
                  <c:v>1.1104693073084178E-2</c:v>
                </c:pt>
                <c:pt idx="24">
                  <c:v>1.9641786857055563E-2</c:v>
                </c:pt>
                <c:pt idx="25">
                  <c:v>9.3844871338747572E-3</c:v>
                </c:pt>
                <c:pt idx="26">
                  <c:v>1.4547594165495762E-2</c:v>
                </c:pt>
                <c:pt idx="27">
                  <c:v>1.1340282197112287E-2</c:v>
                </c:pt>
                <c:pt idx="28">
                  <c:v>#N/A</c:v>
                </c:pt>
                <c:pt idx="29">
                  <c:v>1.8195198853295881E-2</c:v>
                </c:pt>
                <c:pt idx="30">
                  <c:v>0</c:v>
                </c:pt>
                <c:pt idx="31">
                  <c:v>2.2844409361086341E-2</c:v>
                </c:pt>
                <c:pt idx="32">
                  <c:v>1.7573032979852462E-2</c:v>
                </c:pt>
              </c:numCache>
            </c:numRef>
          </c:val>
        </c:ser>
        <c:ser>
          <c:idx val="2"/>
          <c:order val="1"/>
          <c:tx>
            <c:strRef>
              <c:f>'Dados Graf Est'!$A$4</c:f>
              <c:strCache>
                <c:ptCount val="1"/>
                <c:pt idx="0">
                  <c:v>2008</c:v>
                </c:pt>
              </c:strCache>
            </c:strRef>
          </c:tx>
          <c:spPr>
            <a:solidFill>
              <a:schemeClr val="tx1">
                <a:lumMod val="75000"/>
                <a:lumOff val="25000"/>
              </a:schemeClr>
            </a:solidFill>
          </c:spPr>
          <c:cat>
            <c:strRef>
              <c:f>'Dados Graf Est'!$B$2:$AH$2</c:f>
              <c:strCache>
                <c:ptCount val="33"/>
                <c:pt idx="0">
                  <c:v>CODEN Nova Odessa</c:v>
                </c:pt>
                <c:pt idx="1">
                  <c:v>DAAE Rio Claro</c:v>
                </c:pt>
                <c:pt idx="2">
                  <c:v>SAAE Capivari</c:v>
                </c:pt>
                <c:pt idx="3">
                  <c:v>SAAE Codeirópolis</c:v>
                </c:pt>
                <c:pt idx="4">
                  <c:v>SAAE Indaiatuba</c:v>
                </c:pt>
                <c:pt idx="5">
                  <c:v>SAAE Rio das Pedras</c:v>
                </c:pt>
                <c:pt idx="6">
                  <c:v>SAAE Salto</c:v>
                </c:pt>
                <c:pt idx="7">
                  <c:v>SAAE São Pedro</c:v>
                </c:pt>
                <c:pt idx="8">
                  <c:v> SAEAN Artur Nogueira</c:v>
                </c:pt>
                <c:pt idx="9">
                  <c:v>SANEBAVI Vinhedo</c:v>
                </c:pt>
                <c:pt idx="10">
                  <c:v>DAE Holambra</c:v>
                </c:pt>
                <c:pt idx="11">
                  <c:v>Prefeitura Ipeúna</c:v>
                </c:pt>
                <c:pt idx="12">
                  <c:v>Prefeitura Iracemápolis</c:v>
                </c:pt>
                <c:pt idx="13">
                  <c:v>Prefeitura Louveira</c:v>
                </c:pt>
                <c:pt idx="14">
                  <c:v>Prefeitura Rafard</c:v>
                </c:pt>
                <c:pt idx="15">
                  <c:v>Prefeitura Saltinho</c:v>
                </c:pt>
                <c:pt idx="16">
                  <c:v>Prefeitura Santa Gertrudes</c:v>
                </c:pt>
                <c:pt idx="17">
                  <c:v>Prefeitura Santo Antônio de Posse</c:v>
                </c:pt>
                <c:pt idx="18">
                  <c:v>SABESP Charqueada</c:v>
                </c:pt>
                <c:pt idx="19">
                  <c:v>SABESP Cabreúva</c:v>
                </c:pt>
                <c:pt idx="20">
                  <c:v>SABESP Elias Fausto</c:v>
                </c:pt>
                <c:pt idx="21">
                  <c:v>SABESP Campo Limpo Paulista</c:v>
                </c:pt>
                <c:pt idx="22">
                  <c:v>SABESP Itupeva</c:v>
                </c:pt>
                <c:pt idx="23">
                  <c:v>SABESP Jarinu</c:v>
                </c:pt>
                <c:pt idx="24">
                  <c:v>SABESP Joanópolis</c:v>
                </c:pt>
                <c:pt idx="25">
                  <c:v>SABESP Mairiporã</c:v>
                </c:pt>
                <c:pt idx="26">
                  <c:v>SABESP Mombuca</c:v>
                </c:pt>
                <c:pt idx="27">
                  <c:v>SABESP Morungaba</c:v>
                </c:pt>
                <c:pt idx="28">
                  <c:v>SABESP Pedra Bela</c:v>
                </c:pt>
                <c:pt idx="29">
                  <c:v>SABESP Pinhalzinho</c:v>
                </c:pt>
                <c:pt idx="30">
                  <c:v>SABESP Águas de São Pedro</c:v>
                </c:pt>
                <c:pt idx="31">
                  <c:v>SABESP Vargem</c:v>
                </c:pt>
                <c:pt idx="32">
                  <c:v>SABESP Várzea Paulista</c:v>
                </c:pt>
              </c:strCache>
            </c:strRef>
          </c:cat>
          <c:val>
            <c:numRef>
              <c:f>'Dados Graf Est'!$B$4:$AH$4</c:f>
              <c:numCache>
                <c:formatCode>0.00%</c:formatCode>
                <c:ptCount val="33"/>
                <c:pt idx="0">
                  <c:v>1.3984616452454579E-2</c:v>
                </c:pt>
                <c:pt idx="1">
                  <c:v>2.3890298399029078E-2</c:v>
                </c:pt>
                <c:pt idx="2">
                  <c:v>2.9289884988129355E-2</c:v>
                </c:pt>
                <c:pt idx="3">
                  <c:v>4.5155048948135483E-2</c:v>
                </c:pt>
                <c:pt idx="4">
                  <c:v>1.6306324888191229E-2</c:v>
                </c:pt>
                <c:pt idx="5">
                  <c:v>2.543490755916604E-2</c:v>
                </c:pt>
                <c:pt idx="6">
                  <c:v>2.2852882753901845E-2</c:v>
                </c:pt>
                <c:pt idx="7">
                  <c:v>1.9252200563962221E-2</c:v>
                </c:pt>
                <c:pt idx="8">
                  <c:v>2.8639258848010253E-2</c:v>
                </c:pt>
                <c:pt idx="9">
                  <c:v>1.3248384650453813E-2</c:v>
                </c:pt>
                <c:pt idx="10">
                  <c:v>2.4574437389405651E-2</c:v>
                </c:pt>
                <c:pt idx="11">
                  <c:v>2.6725720424333126E-2</c:v>
                </c:pt>
                <c:pt idx="12">
                  <c:v>6.1413867590915114E-3</c:v>
                </c:pt>
                <c:pt idx="13">
                  <c:v>4.0974065750025955E-2</c:v>
                </c:pt>
                <c:pt idx="14">
                  <c:v>9.8006849929393666E-2</c:v>
                </c:pt>
                <c:pt idx="15">
                  <c:v>0</c:v>
                </c:pt>
                <c:pt idx="16">
                  <c:v>6.0355216577681108E-2</c:v>
                </c:pt>
                <c:pt idx="17">
                  <c:v>0.10988963011431595</c:v>
                </c:pt>
                <c:pt idx="18">
                  <c:v>4.303198071011473E-3</c:v>
                </c:pt>
                <c:pt idx="19">
                  <c:v>1.1961990231219277E-2</c:v>
                </c:pt>
                <c:pt idx="20">
                  <c:v>1.3273767741435089E-2</c:v>
                </c:pt>
                <c:pt idx="21">
                  <c:v>3.0931582254698387E-2</c:v>
                </c:pt>
                <c:pt idx="22">
                  <c:v>1.2538721485986601E-2</c:v>
                </c:pt>
                <c:pt idx="23">
                  <c:v>1.5310248571179417E-2</c:v>
                </c:pt>
                <c:pt idx="24">
                  <c:v>2.2043473710857294E-2</c:v>
                </c:pt>
                <c:pt idx="25">
                  <c:v>5.0485517668136812E-3</c:v>
                </c:pt>
                <c:pt idx="26">
                  <c:v>1.2012992606533058E-2</c:v>
                </c:pt>
                <c:pt idx="27">
                  <c:v>1.2632948419394894E-2</c:v>
                </c:pt>
                <c:pt idx="28">
                  <c:v>1.4801913442269221E-2</c:v>
                </c:pt>
                <c:pt idx="29">
                  <c:v>1.4196457237776334E-2</c:v>
                </c:pt>
                <c:pt idx="30">
                  <c:v>1.0739152657880122E-2</c:v>
                </c:pt>
                <c:pt idx="31">
                  <c:v>2.5515259254627613E-2</c:v>
                </c:pt>
                <c:pt idx="32">
                  <c:v>1.9232755527567581E-2</c:v>
                </c:pt>
              </c:numCache>
            </c:numRef>
          </c:val>
        </c:ser>
        <c:ser>
          <c:idx val="3"/>
          <c:order val="2"/>
          <c:tx>
            <c:strRef>
              <c:f>'Dados Graf Est'!$A$5</c:f>
              <c:strCache>
                <c:ptCount val="1"/>
                <c:pt idx="0">
                  <c:v>2009</c:v>
                </c:pt>
              </c:strCache>
            </c:strRef>
          </c:tx>
          <c:spPr>
            <a:solidFill>
              <a:schemeClr val="tx1">
                <a:lumMod val="50000"/>
                <a:lumOff val="50000"/>
              </a:schemeClr>
            </a:solidFill>
          </c:spPr>
          <c:cat>
            <c:strRef>
              <c:f>'Dados Graf Est'!$B$2:$AH$2</c:f>
              <c:strCache>
                <c:ptCount val="33"/>
                <c:pt idx="0">
                  <c:v>CODEN Nova Odessa</c:v>
                </c:pt>
                <c:pt idx="1">
                  <c:v>DAAE Rio Claro</c:v>
                </c:pt>
                <c:pt idx="2">
                  <c:v>SAAE Capivari</c:v>
                </c:pt>
                <c:pt idx="3">
                  <c:v>SAAE Codeirópolis</c:v>
                </c:pt>
                <c:pt idx="4">
                  <c:v>SAAE Indaiatuba</c:v>
                </c:pt>
                <c:pt idx="5">
                  <c:v>SAAE Rio das Pedras</c:v>
                </c:pt>
                <c:pt idx="6">
                  <c:v>SAAE Salto</c:v>
                </c:pt>
                <c:pt idx="7">
                  <c:v>SAAE São Pedro</c:v>
                </c:pt>
                <c:pt idx="8">
                  <c:v> SAEAN Artur Nogueira</c:v>
                </c:pt>
                <c:pt idx="9">
                  <c:v>SANEBAVI Vinhedo</c:v>
                </c:pt>
                <c:pt idx="10">
                  <c:v>DAE Holambra</c:v>
                </c:pt>
                <c:pt idx="11">
                  <c:v>Prefeitura Ipeúna</c:v>
                </c:pt>
                <c:pt idx="12">
                  <c:v>Prefeitura Iracemápolis</c:v>
                </c:pt>
                <c:pt idx="13">
                  <c:v>Prefeitura Louveira</c:v>
                </c:pt>
                <c:pt idx="14">
                  <c:v>Prefeitura Rafard</c:v>
                </c:pt>
                <c:pt idx="15">
                  <c:v>Prefeitura Saltinho</c:v>
                </c:pt>
                <c:pt idx="16">
                  <c:v>Prefeitura Santa Gertrudes</c:v>
                </c:pt>
                <c:pt idx="17">
                  <c:v>Prefeitura Santo Antônio de Posse</c:v>
                </c:pt>
                <c:pt idx="18">
                  <c:v>SABESP Charqueada</c:v>
                </c:pt>
                <c:pt idx="19">
                  <c:v>SABESP Cabreúva</c:v>
                </c:pt>
                <c:pt idx="20">
                  <c:v>SABESP Elias Fausto</c:v>
                </c:pt>
                <c:pt idx="21">
                  <c:v>SABESP Campo Limpo Paulista</c:v>
                </c:pt>
                <c:pt idx="22">
                  <c:v>SABESP Itupeva</c:v>
                </c:pt>
                <c:pt idx="23">
                  <c:v>SABESP Jarinu</c:v>
                </c:pt>
                <c:pt idx="24">
                  <c:v>SABESP Joanópolis</c:v>
                </c:pt>
                <c:pt idx="25">
                  <c:v>SABESP Mairiporã</c:v>
                </c:pt>
                <c:pt idx="26">
                  <c:v>SABESP Mombuca</c:v>
                </c:pt>
                <c:pt idx="27">
                  <c:v>SABESP Morungaba</c:v>
                </c:pt>
                <c:pt idx="28">
                  <c:v>SABESP Pedra Bela</c:v>
                </c:pt>
                <c:pt idx="29">
                  <c:v>SABESP Pinhalzinho</c:v>
                </c:pt>
                <c:pt idx="30">
                  <c:v>SABESP Águas de São Pedro</c:v>
                </c:pt>
                <c:pt idx="31">
                  <c:v>SABESP Vargem</c:v>
                </c:pt>
                <c:pt idx="32">
                  <c:v>SABESP Várzea Paulista</c:v>
                </c:pt>
              </c:strCache>
            </c:strRef>
          </c:cat>
          <c:val>
            <c:numRef>
              <c:f>'Dados Graf Est'!$B$5:$AH$5</c:f>
              <c:numCache>
                <c:formatCode>0.00%</c:formatCode>
                <c:ptCount val="33"/>
                <c:pt idx="0">
                  <c:v>1.1931898859445981E-2</c:v>
                </c:pt>
                <c:pt idx="1">
                  <c:v>7.8628961077162832E-3</c:v>
                </c:pt>
                <c:pt idx="2">
                  <c:v>2.5955592555267012E-2</c:v>
                </c:pt>
                <c:pt idx="3">
                  <c:v>3.8011106357379865E-2</c:v>
                </c:pt>
                <c:pt idx="4">
                  <c:v>1.5900900227148827E-2</c:v>
                </c:pt>
                <c:pt idx="5">
                  <c:v>2.6352811242282427E-2</c:v>
                </c:pt>
                <c:pt idx="6">
                  <c:v>1.7956488051443932E-2</c:v>
                </c:pt>
                <c:pt idx="7">
                  <c:v>1.8209150836104929E-2</c:v>
                </c:pt>
                <c:pt idx="8">
                  <c:v>2.599312358928603E-2</c:v>
                </c:pt>
                <c:pt idx="9">
                  <c:v>1.2048197550285598E-2</c:v>
                </c:pt>
                <c:pt idx="10">
                  <c:v>0</c:v>
                </c:pt>
                <c:pt idx="11">
                  <c:v>2.7639635719717427E-2</c:v>
                </c:pt>
                <c:pt idx="12">
                  <c:v>1.2284136854839619E-2</c:v>
                </c:pt>
                <c:pt idx="13">
                  <c:v>0</c:v>
                </c:pt>
                <c:pt idx="14">
                  <c:v>8.3124399825404691E-2</c:v>
                </c:pt>
                <c:pt idx="15">
                  <c:v>0</c:v>
                </c:pt>
                <c:pt idx="16">
                  <c:v>9.0234102052268478E-2</c:v>
                </c:pt>
                <c:pt idx="17">
                  <c:v>9.6394370548045574E-2</c:v>
                </c:pt>
                <c:pt idx="18">
                  <c:v>4.2933814542919536E-3</c:v>
                </c:pt>
                <c:pt idx="19">
                  <c:v>1.1029184275265197E-2</c:v>
                </c:pt>
                <c:pt idx="20">
                  <c:v>1.2132662629306634E-2</c:v>
                </c:pt>
                <c:pt idx="21">
                  <c:v>2.9701917925779548E-2</c:v>
                </c:pt>
                <c:pt idx="22">
                  <c:v>1.596407774633549E-2</c:v>
                </c:pt>
                <c:pt idx="23">
                  <c:v>1.2474720437967303E-2</c:v>
                </c:pt>
                <c:pt idx="24">
                  <c:v>2.0502652345931967E-2</c:v>
                </c:pt>
                <c:pt idx="25">
                  <c:v>5.9428069836886185E-3</c:v>
                </c:pt>
                <c:pt idx="26">
                  <c:v>1.23598437609723E-2</c:v>
                </c:pt>
                <c:pt idx="27">
                  <c:v>1.1577906704805239E-2</c:v>
                </c:pt>
                <c:pt idx="28">
                  <c:v>1.3964851815206883E-2</c:v>
                </c:pt>
                <c:pt idx="29">
                  <c:v>1.3331113646375974E-2</c:v>
                </c:pt>
                <c:pt idx="30">
                  <c:v>1.5324999164817976E-2</c:v>
                </c:pt>
                <c:pt idx="31">
                  <c:v>2.5911672256634682E-2</c:v>
                </c:pt>
                <c:pt idx="32">
                  <c:v>1.8494696427685687E-2</c:v>
                </c:pt>
              </c:numCache>
            </c:numRef>
          </c:val>
        </c:ser>
        <c:ser>
          <c:idx val="4"/>
          <c:order val="3"/>
          <c:tx>
            <c:strRef>
              <c:f>'Dados Graf Est'!$A$6</c:f>
              <c:strCache>
                <c:ptCount val="1"/>
                <c:pt idx="0">
                  <c:v>2010</c:v>
                </c:pt>
              </c:strCache>
            </c:strRef>
          </c:tx>
          <c:spPr>
            <a:solidFill>
              <a:schemeClr val="bg1">
                <a:lumMod val="65000"/>
              </a:schemeClr>
            </a:solidFill>
          </c:spPr>
          <c:cat>
            <c:strRef>
              <c:f>'Dados Graf Est'!$B$2:$AH$2</c:f>
              <c:strCache>
                <c:ptCount val="33"/>
                <c:pt idx="0">
                  <c:v>CODEN Nova Odessa</c:v>
                </c:pt>
                <c:pt idx="1">
                  <c:v>DAAE Rio Claro</c:v>
                </c:pt>
                <c:pt idx="2">
                  <c:v>SAAE Capivari</c:v>
                </c:pt>
                <c:pt idx="3">
                  <c:v>SAAE Codeirópolis</c:v>
                </c:pt>
                <c:pt idx="4">
                  <c:v>SAAE Indaiatuba</c:v>
                </c:pt>
                <c:pt idx="5">
                  <c:v>SAAE Rio das Pedras</c:v>
                </c:pt>
                <c:pt idx="6">
                  <c:v>SAAE Salto</c:v>
                </c:pt>
                <c:pt idx="7">
                  <c:v>SAAE São Pedro</c:v>
                </c:pt>
                <c:pt idx="8">
                  <c:v> SAEAN Artur Nogueira</c:v>
                </c:pt>
                <c:pt idx="9">
                  <c:v>SANEBAVI Vinhedo</c:v>
                </c:pt>
                <c:pt idx="10">
                  <c:v>DAE Holambra</c:v>
                </c:pt>
                <c:pt idx="11">
                  <c:v>Prefeitura Ipeúna</c:v>
                </c:pt>
                <c:pt idx="12">
                  <c:v>Prefeitura Iracemápolis</c:v>
                </c:pt>
                <c:pt idx="13">
                  <c:v>Prefeitura Louveira</c:v>
                </c:pt>
                <c:pt idx="14">
                  <c:v>Prefeitura Rafard</c:v>
                </c:pt>
                <c:pt idx="15">
                  <c:v>Prefeitura Saltinho</c:v>
                </c:pt>
                <c:pt idx="16">
                  <c:v>Prefeitura Santa Gertrudes</c:v>
                </c:pt>
                <c:pt idx="17">
                  <c:v>Prefeitura Santo Antônio de Posse</c:v>
                </c:pt>
                <c:pt idx="18">
                  <c:v>SABESP Charqueada</c:v>
                </c:pt>
                <c:pt idx="19">
                  <c:v>SABESP Cabreúva</c:v>
                </c:pt>
                <c:pt idx="20">
                  <c:v>SABESP Elias Fausto</c:v>
                </c:pt>
                <c:pt idx="21">
                  <c:v>SABESP Campo Limpo Paulista</c:v>
                </c:pt>
                <c:pt idx="22">
                  <c:v>SABESP Itupeva</c:v>
                </c:pt>
                <c:pt idx="23">
                  <c:v>SABESP Jarinu</c:v>
                </c:pt>
                <c:pt idx="24">
                  <c:v>SABESP Joanópolis</c:v>
                </c:pt>
                <c:pt idx="25">
                  <c:v>SABESP Mairiporã</c:v>
                </c:pt>
                <c:pt idx="26">
                  <c:v>SABESP Mombuca</c:v>
                </c:pt>
                <c:pt idx="27">
                  <c:v>SABESP Morungaba</c:v>
                </c:pt>
                <c:pt idx="28">
                  <c:v>SABESP Pedra Bela</c:v>
                </c:pt>
                <c:pt idx="29">
                  <c:v>SABESP Pinhalzinho</c:v>
                </c:pt>
                <c:pt idx="30">
                  <c:v>SABESP Águas de São Pedro</c:v>
                </c:pt>
                <c:pt idx="31">
                  <c:v>SABESP Vargem</c:v>
                </c:pt>
                <c:pt idx="32">
                  <c:v>SABESP Várzea Paulista</c:v>
                </c:pt>
              </c:strCache>
            </c:strRef>
          </c:cat>
          <c:val>
            <c:numRef>
              <c:f>'Dados Graf Est'!$B$6:$AH$6</c:f>
              <c:numCache>
                <c:formatCode>0.00%</c:formatCode>
                <c:ptCount val="33"/>
                <c:pt idx="0">
                  <c:v>1.3041490948086362E-2</c:v>
                </c:pt>
                <c:pt idx="1">
                  <c:v>6.5008314176582408E-3</c:v>
                </c:pt>
                <c:pt idx="2">
                  <c:v>1.9901620731532649E-2</c:v>
                </c:pt>
                <c:pt idx="3">
                  <c:v>2.8831786246715767E-2</c:v>
                </c:pt>
                <c:pt idx="4">
                  <c:v>1.3364013997451353E-2</c:v>
                </c:pt>
                <c:pt idx="5">
                  <c:v>2.3697945736146239E-2</c:v>
                </c:pt>
                <c:pt idx="6">
                  <c:v>9.9962847230617539E-3</c:v>
                </c:pt>
                <c:pt idx="7">
                  <c:v>1.6120085927854483E-2</c:v>
                </c:pt>
                <c:pt idx="8">
                  <c:v>2.1156132578546434E-2</c:v>
                </c:pt>
                <c:pt idx="9">
                  <c:v>1.1113238419226601E-2</c:v>
                </c:pt>
                <c:pt idx="10">
                  <c:v>0</c:v>
                </c:pt>
                <c:pt idx="11">
                  <c:v>2.6194735670589119E-2</c:v>
                </c:pt>
                <c:pt idx="12">
                  <c:v>0</c:v>
                </c:pt>
                <c:pt idx="13">
                  <c:v>2.7311712296070222E-2</c:v>
                </c:pt>
                <c:pt idx="14">
                  <c:v>6.8130091122480529E-2</c:v>
                </c:pt>
                <c:pt idx="15">
                  <c:v>1.4798019434308227E-2</c:v>
                </c:pt>
                <c:pt idx="16">
                  <c:v>0.10007688320924571</c:v>
                </c:pt>
                <c:pt idx="17">
                  <c:v>5.0058650051819031E-2</c:v>
                </c:pt>
                <c:pt idx="18">
                  <c:v>2.3389771526462263E-3</c:v>
                </c:pt>
                <c:pt idx="19">
                  <c:v>8.3043644566049846E-3</c:v>
                </c:pt>
                <c:pt idx="20">
                  <c:v>1.0576863243260543E-2</c:v>
                </c:pt>
                <c:pt idx="21">
                  <c:v>2.7675207900576981E-2</c:v>
                </c:pt>
                <c:pt idx="22">
                  <c:v>1.2338061569566799E-2</c:v>
                </c:pt>
                <c:pt idx="23">
                  <c:v>1.0676664306186611E-2</c:v>
                </c:pt>
                <c:pt idx="24">
                  <c:v>1.930269815619574E-2</c:v>
                </c:pt>
                <c:pt idx="25">
                  <c:v>3.5460911106754435E-3</c:v>
                </c:pt>
                <c:pt idx="26">
                  <c:v>1.0437435618370327E-2</c:v>
                </c:pt>
                <c:pt idx="27">
                  <c:v>1.0040157617235064E-2</c:v>
                </c:pt>
                <c:pt idx="28">
                  <c:v>1.3112761165575955E-2</c:v>
                </c:pt>
                <c:pt idx="29">
                  <c:v>1.5592163165696339E-2</c:v>
                </c:pt>
                <c:pt idx="30">
                  <c:v>1.4544692823840581E-2</c:v>
                </c:pt>
                <c:pt idx="31">
                  <c:v>2.2197202715326225E-2</c:v>
                </c:pt>
                <c:pt idx="32">
                  <c:v>1.6996706452273261E-2</c:v>
                </c:pt>
              </c:numCache>
            </c:numRef>
          </c:val>
        </c:ser>
        <c:ser>
          <c:idx val="5"/>
          <c:order val="4"/>
          <c:tx>
            <c:strRef>
              <c:f>'Dados Graf Est'!$A$7</c:f>
              <c:strCache>
                <c:ptCount val="1"/>
                <c:pt idx="0">
                  <c:v>2016</c:v>
                </c:pt>
              </c:strCache>
            </c:strRef>
          </c:tx>
          <c:spPr>
            <a:solidFill>
              <a:schemeClr val="accent6">
                <a:lumMod val="75000"/>
              </a:schemeClr>
            </a:solidFill>
          </c:spPr>
          <c:cat>
            <c:strRef>
              <c:f>'Dados Graf Est'!$B$2:$AH$2</c:f>
              <c:strCache>
                <c:ptCount val="33"/>
                <c:pt idx="0">
                  <c:v>CODEN Nova Odessa</c:v>
                </c:pt>
                <c:pt idx="1">
                  <c:v>DAAE Rio Claro</c:v>
                </c:pt>
                <c:pt idx="2">
                  <c:v>SAAE Capivari</c:v>
                </c:pt>
                <c:pt idx="3">
                  <c:v>SAAE Codeirópolis</c:v>
                </c:pt>
                <c:pt idx="4">
                  <c:v>SAAE Indaiatuba</c:v>
                </c:pt>
                <c:pt idx="5">
                  <c:v>SAAE Rio das Pedras</c:v>
                </c:pt>
                <c:pt idx="6">
                  <c:v>SAAE Salto</c:v>
                </c:pt>
                <c:pt idx="7">
                  <c:v>SAAE São Pedro</c:v>
                </c:pt>
                <c:pt idx="8">
                  <c:v> SAEAN Artur Nogueira</c:v>
                </c:pt>
                <c:pt idx="9">
                  <c:v>SANEBAVI Vinhedo</c:v>
                </c:pt>
                <c:pt idx="10">
                  <c:v>DAE Holambra</c:v>
                </c:pt>
                <c:pt idx="11">
                  <c:v>Prefeitura Ipeúna</c:v>
                </c:pt>
                <c:pt idx="12">
                  <c:v>Prefeitura Iracemápolis</c:v>
                </c:pt>
                <c:pt idx="13">
                  <c:v>Prefeitura Louveira</c:v>
                </c:pt>
                <c:pt idx="14">
                  <c:v>Prefeitura Rafard</c:v>
                </c:pt>
                <c:pt idx="15">
                  <c:v>Prefeitura Saltinho</c:v>
                </c:pt>
                <c:pt idx="16">
                  <c:v>Prefeitura Santa Gertrudes</c:v>
                </c:pt>
                <c:pt idx="17">
                  <c:v>Prefeitura Santo Antônio de Posse</c:v>
                </c:pt>
                <c:pt idx="18">
                  <c:v>SABESP Charqueada</c:v>
                </c:pt>
                <c:pt idx="19">
                  <c:v>SABESP Cabreúva</c:v>
                </c:pt>
                <c:pt idx="20">
                  <c:v>SABESP Elias Fausto</c:v>
                </c:pt>
                <c:pt idx="21">
                  <c:v>SABESP Campo Limpo Paulista</c:v>
                </c:pt>
                <c:pt idx="22">
                  <c:v>SABESP Itupeva</c:v>
                </c:pt>
                <c:pt idx="23">
                  <c:v>SABESP Jarinu</c:v>
                </c:pt>
                <c:pt idx="24">
                  <c:v>SABESP Joanópolis</c:v>
                </c:pt>
                <c:pt idx="25">
                  <c:v>SABESP Mairiporã</c:v>
                </c:pt>
                <c:pt idx="26">
                  <c:v>SABESP Mombuca</c:v>
                </c:pt>
                <c:pt idx="27">
                  <c:v>SABESP Morungaba</c:v>
                </c:pt>
                <c:pt idx="28">
                  <c:v>SABESP Pedra Bela</c:v>
                </c:pt>
                <c:pt idx="29">
                  <c:v>SABESP Pinhalzinho</c:v>
                </c:pt>
                <c:pt idx="30">
                  <c:v>SABESP Águas de São Pedro</c:v>
                </c:pt>
                <c:pt idx="31">
                  <c:v>SABESP Vargem</c:v>
                </c:pt>
                <c:pt idx="32">
                  <c:v>SABESP Várzea Paulista</c:v>
                </c:pt>
              </c:strCache>
            </c:strRef>
          </c:cat>
          <c:val>
            <c:numRef>
              <c:f>'Dados Graf Est'!$B$7:$AH$7</c:f>
              <c:numCache>
                <c:formatCode>0.00%</c:formatCode>
                <c:ptCount val="33"/>
                <c:pt idx="0">
                  <c:v>1.3407646085264959E-2</c:v>
                </c:pt>
                <c:pt idx="1">
                  <c:v>1.1472880853976441E-2</c:v>
                </c:pt>
                <c:pt idx="2">
                  <c:v>3.7254447835356252E-2</c:v>
                </c:pt>
                <c:pt idx="3">
                  <c:v>2.8278933159814619E-2</c:v>
                </c:pt>
                <c:pt idx="4">
                  <c:v>5.0083520878665983E-3</c:v>
                </c:pt>
                <c:pt idx="5">
                  <c:v>1.8578466179692728E-2</c:v>
                </c:pt>
                <c:pt idx="6">
                  <c:v>9.8046047203245567E-3</c:v>
                </c:pt>
                <c:pt idx="7">
                  <c:v>2.925896280919241E-2</c:v>
                </c:pt>
                <c:pt idx="8">
                  <c:v>2.9137188071191891E-2</c:v>
                </c:pt>
                <c:pt idx="9">
                  <c:v>8.5638107152549766E-3</c:v>
                </c:pt>
                <c:pt idx="10">
                  <c:v>0</c:v>
                </c:pt>
                <c:pt idx="11">
                  <c:v>3.1194421494631377E-2</c:v>
                </c:pt>
                <c:pt idx="12">
                  <c:v>0</c:v>
                </c:pt>
                <c:pt idx="13">
                  <c:v>3.5756701437214641E-2</c:v>
                </c:pt>
                <c:pt idx="14">
                  <c:v>6.6823674116537127E-2</c:v>
                </c:pt>
                <c:pt idx="15">
                  <c:v>3.5808151565566652E-2</c:v>
                </c:pt>
                <c:pt idx="16">
                  <c:v>5.4599701802282227E-2</c:v>
                </c:pt>
                <c:pt idx="17">
                  <c:v>4.8946076318455795E-2</c:v>
                </c:pt>
                <c:pt idx="18">
                  <c:v>6.9111878711260854E-3</c:v>
                </c:pt>
                <c:pt idx="19">
                  <c:v>9.7478092677159706E-3</c:v>
                </c:pt>
                <c:pt idx="20">
                  <c:v>1.56189059506181E-2</c:v>
                </c:pt>
                <c:pt idx="21">
                  <c:v>1.4164213473992358E-2</c:v>
                </c:pt>
                <c:pt idx="22">
                  <c:v>1.0892833435461081E-2</c:v>
                </c:pt>
                <c:pt idx="23">
                  <c:v>7.1151168546829775E-3</c:v>
                </c:pt>
                <c:pt idx="24">
                  <c:v>2.7413194613446219E-2</c:v>
                </c:pt>
                <c:pt idx="25">
                  <c:v>9.990030944525565E-4</c:v>
                </c:pt>
                <c:pt idx="26">
                  <c:v>1.0259365029197606E-2</c:v>
                </c:pt>
                <c:pt idx="27">
                  <c:v>9.8706493867732059E-3</c:v>
                </c:pt>
                <c:pt idx="28">
                  <c:v>1.2861322339477862E-2</c:v>
                </c:pt>
                <c:pt idx="29">
                  <c:v>1.1964306477284642E-2</c:v>
                </c:pt>
                <c:pt idx="30">
                  <c:v>1.42657965301153E-2</c:v>
                </c:pt>
                <c:pt idx="31">
                  <c:v>2.1771568592738849E-2</c:v>
                </c:pt>
                <c:pt idx="32">
                  <c:v>1.5744024387039594E-2</c:v>
                </c:pt>
              </c:numCache>
            </c:numRef>
          </c:val>
        </c:ser>
        <c:axId val="117685248"/>
        <c:axId val="119837440"/>
      </c:barChart>
      <c:catAx>
        <c:axId val="117685248"/>
        <c:scaling>
          <c:orientation val="minMax"/>
        </c:scaling>
        <c:axPos val="b"/>
        <c:numFmt formatCode="General" sourceLinked="0"/>
        <c:tickLblPos val="nextTo"/>
        <c:crossAx val="119837440"/>
        <c:crosses val="autoZero"/>
        <c:auto val="1"/>
        <c:lblAlgn val="ctr"/>
        <c:lblOffset val="100"/>
      </c:catAx>
      <c:valAx>
        <c:axId val="119837440"/>
        <c:scaling>
          <c:orientation val="minMax"/>
        </c:scaling>
        <c:axPos val="l"/>
        <c:majorGridlines/>
        <c:minorGridlines/>
        <c:numFmt formatCode="0.0%" sourceLinked="0"/>
        <c:tickLblPos val="nextTo"/>
        <c:crossAx val="117685248"/>
        <c:crosses val="autoZero"/>
        <c:crossBetween val="between"/>
      </c:valAx>
    </c:plotArea>
    <c:legend>
      <c:legendPos val="b"/>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t-BR"/>
  <c:clrMapOvr bg1="lt1" tx1="dk1" bg2="lt2" tx2="dk2" accent1="accent1" accent2="accent2" accent3="accent3" accent4="accent4" accent5="accent5" accent6="accent6" hlink="hlink" folHlink="folHlink"/>
  <c:chart>
    <c:title>
      <c:tx>
        <c:rich>
          <a:bodyPr/>
          <a:lstStyle/>
          <a:p>
            <a:pPr>
              <a:defRPr/>
            </a:pPr>
            <a:r>
              <a:rPr lang="pt-BR" sz="1400" b="1" i="0" baseline="0">
                <a:effectLst/>
              </a:rPr>
              <a:t>Cobrança Total / Receita Operacional Total (em %)</a:t>
            </a:r>
            <a:endParaRPr lang="pt-BR" sz="1400">
              <a:effectLst/>
            </a:endParaRPr>
          </a:p>
        </c:rich>
      </c:tx>
    </c:title>
    <c:plotArea>
      <c:layout/>
      <c:barChart>
        <c:barDir val="col"/>
        <c:grouping val="clustered"/>
        <c:ser>
          <c:idx val="1"/>
          <c:order val="0"/>
          <c:tx>
            <c:strRef>
              <c:f>'Dados Graf Est'!$A$3</c:f>
              <c:strCache>
                <c:ptCount val="1"/>
                <c:pt idx="0">
                  <c:v>2007</c:v>
                </c:pt>
              </c:strCache>
            </c:strRef>
          </c:tx>
          <c:spPr>
            <a:solidFill>
              <a:schemeClr val="tx1">
                <a:lumMod val="95000"/>
                <a:lumOff val="5000"/>
              </a:schemeClr>
            </a:solidFill>
          </c:spPr>
          <c:cat>
            <c:strRef>
              <c:f>'Dados Graf Est'!$B$2:$AH$2</c:f>
              <c:strCache>
                <c:ptCount val="33"/>
                <c:pt idx="0">
                  <c:v>CODEN Nova Odessa</c:v>
                </c:pt>
                <c:pt idx="1">
                  <c:v>DAAE Rio Claro</c:v>
                </c:pt>
                <c:pt idx="2">
                  <c:v>SAAE Capivari</c:v>
                </c:pt>
                <c:pt idx="3">
                  <c:v>SAAE Codeirópolis</c:v>
                </c:pt>
                <c:pt idx="4">
                  <c:v>SAAE Indaiatuba</c:v>
                </c:pt>
                <c:pt idx="5">
                  <c:v>SAAE Rio das Pedras</c:v>
                </c:pt>
                <c:pt idx="6">
                  <c:v>SAAE Salto</c:v>
                </c:pt>
                <c:pt idx="7">
                  <c:v>SAAE São Pedro</c:v>
                </c:pt>
                <c:pt idx="8">
                  <c:v> SAEAN Artur Nogueira</c:v>
                </c:pt>
                <c:pt idx="9">
                  <c:v>SANEBAVI Vinhedo</c:v>
                </c:pt>
                <c:pt idx="10">
                  <c:v>DAE Holambra</c:v>
                </c:pt>
                <c:pt idx="11">
                  <c:v>Prefeitura Ipeúna</c:v>
                </c:pt>
                <c:pt idx="12">
                  <c:v>Prefeitura Iracemápolis</c:v>
                </c:pt>
                <c:pt idx="13">
                  <c:v>Prefeitura Louveira</c:v>
                </c:pt>
                <c:pt idx="14">
                  <c:v>Prefeitura Rafard</c:v>
                </c:pt>
                <c:pt idx="15">
                  <c:v>Prefeitura Saltinho</c:v>
                </c:pt>
                <c:pt idx="16">
                  <c:v>Prefeitura Santa Gertrudes</c:v>
                </c:pt>
                <c:pt idx="17">
                  <c:v>Prefeitura Santo Antônio de Posse</c:v>
                </c:pt>
                <c:pt idx="18">
                  <c:v>SABESP Charqueada</c:v>
                </c:pt>
                <c:pt idx="19">
                  <c:v>SABESP Cabreúva</c:v>
                </c:pt>
                <c:pt idx="20">
                  <c:v>SABESP Elias Fausto</c:v>
                </c:pt>
                <c:pt idx="21">
                  <c:v>SABESP Campo Limpo Paulista</c:v>
                </c:pt>
                <c:pt idx="22">
                  <c:v>SABESP Itupeva</c:v>
                </c:pt>
                <c:pt idx="23">
                  <c:v>SABESP Jarinu</c:v>
                </c:pt>
                <c:pt idx="24">
                  <c:v>SABESP Joanópolis</c:v>
                </c:pt>
                <c:pt idx="25">
                  <c:v>SABESP Mairiporã</c:v>
                </c:pt>
                <c:pt idx="26">
                  <c:v>SABESP Mombuca</c:v>
                </c:pt>
                <c:pt idx="27">
                  <c:v>SABESP Morungaba</c:v>
                </c:pt>
                <c:pt idx="28">
                  <c:v>SABESP Pedra Bela</c:v>
                </c:pt>
                <c:pt idx="29">
                  <c:v>SABESP Pinhalzinho</c:v>
                </c:pt>
                <c:pt idx="30">
                  <c:v>SABESP Águas de São Pedro</c:v>
                </c:pt>
                <c:pt idx="31">
                  <c:v>SABESP Vargem</c:v>
                </c:pt>
                <c:pt idx="32">
                  <c:v>SABESP Várzea Paulista</c:v>
                </c:pt>
              </c:strCache>
            </c:strRef>
          </c:cat>
          <c:val>
            <c:numRef>
              <c:f>'Dados Graf Est'!$B$3:$AH$3</c:f>
              <c:numCache>
                <c:formatCode>0.00%</c:formatCode>
                <c:ptCount val="33"/>
                <c:pt idx="0">
                  <c:v>1.8663406555572241E-2</c:v>
                </c:pt>
                <c:pt idx="1">
                  <c:v>2.728120391670245E-2</c:v>
                </c:pt>
                <c:pt idx="2">
                  <c:v>3.3739046041015415E-2</c:v>
                </c:pt>
                <c:pt idx="3">
                  <c:v>0</c:v>
                </c:pt>
                <c:pt idx="4">
                  <c:v>2.0502551223616588E-2</c:v>
                </c:pt>
                <c:pt idx="5">
                  <c:v>2.6708799723736784E-2</c:v>
                </c:pt>
                <c:pt idx="6">
                  <c:v>2.5013069554756042E-2</c:v>
                </c:pt>
                <c:pt idx="7">
                  <c:v>2.4944194011324156E-2</c:v>
                </c:pt>
                <c:pt idx="8">
                  <c:v>3.3984379322174282E-2</c:v>
                </c:pt>
                <c:pt idx="9">
                  <c:v>1.2578101233340381E-2</c:v>
                </c:pt>
                <c:pt idx="10">
                  <c:v>1.8587089503204247E-2</c:v>
                </c:pt>
                <c:pt idx="11">
                  <c:v>0</c:v>
                </c:pt>
                <c:pt idx="12">
                  <c:v>0</c:v>
                </c:pt>
                <c:pt idx="13">
                  <c:v>4.7191542235989856E-2</c:v>
                </c:pt>
                <c:pt idx="14">
                  <c:v>7.3134050961896513E-2</c:v>
                </c:pt>
                <c:pt idx="15">
                  <c:v>0</c:v>
                </c:pt>
                <c:pt idx="16">
                  <c:v>0</c:v>
                </c:pt>
                <c:pt idx="17">
                  <c:v>0.12009198186932302</c:v>
                </c:pt>
                <c:pt idx="18">
                  <c:v>0</c:v>
                </c:pt>
                <c:pt idx="19">
                  <c:v>1.3590892620253193E-2</c:v>
                </c:pt>
                <c:pt idx="20">
                  <c:v>1.4083575000564279E-2</c:v>
                </c:pt>
                <c:pt idx="21">
                  <c:v>2.0174768806304016E-2</c:v>
                </c:pt>
                <c:pt idx="22">
                  <c:v>1.57752780877338E-2</c:v>
                </c:pt>
                <c:pt idx="23">
                  <c:v>1.1104693073084178E-2</c:v>
                </c:pt>
                <c:pt idx="24">
                  <c:v>1.9641786857055574E-2</c:v>
                </c:pt>
                <c:pt idx="25">
                  <c:v>9.3844871338747537E-3</c:v>
                </c:pt>
                <c:pt idx="26">
                  <c:v>1.4547594165495762E-2</c:v>
                </c:pt>
                <c:pt idx="27">
                  <c:v>1.1340282197112288E-2</c:v>
                </c:pt>
                <c:pt idx="28">
                  <c:v>#N/A</c:v>
                </c:pt>
                <c:pt idx="29">
                  <c:v>1.8195198853295881E-2</c:v>
                </c:pt>
                <c:pt idx="30">
                  <c:v>0</c:v>
                </c:pt>
                <c:pt idx="31">
                  <c:v>2.2844409361086341E-2</c:v>
                </c:pt>
                <c:pt idx="32">
                  <c:v>1.7573032979852462E-2</c:v>
                </c:pt>
              </c:numCache>
            </c:numRef>
          </c:val>
        </c:ser>
        <c:ser>
          <c:idx val="2"/>
          <c:order val="1"/>
          <c:tx>
            <c:strRef>
              <c:f>'Dados Graf Est'!$A$4</c:f>
              <c:strCache>
                <c:ptCount val="1"/>
                <c:pt idx="0">
                  <c:v>2008</c:v>
                </c:pt>
              </c:strCache>
            </c:strRef>
          </c:tx>
          <c:spPr>
            <a:solidFill>
              <a:schemeClr val="tx1">
                <a:lumMod val="75000"/>
                <a:lumOff val="25000"/>
              </a:schemeClr>
            </a:solidFill>
          </c:spPr>
          <c:cat>
            <c:strRef>
              <c:f>'Dados Graf Est'!$B$2:$AH$2</c:f>
              <c:strCache>
                <c:ptCount val="33"/>
                <c:pt idx="0">
                  <c:v>CODEN Nova Odessa</c:v>
                </c:pt>
                <c:pt idx="1">
                  <c:v>DAAE Rio Claro</c:v>
                </c:pt>
                <c:pt idx="2">
                  <c:v>SAAE Capivari</c:v>
                </c:pt>
                <c:pt idx="3">
                  <c:v>SAAE Codeirópolis</c:v>
                </c:pt>
                <c:pt idx="4">
                  <c:v>SAAE Indaiatuba</c:v>
                </c:pt>
                <c:pt idx="5">
                  <c:v>SAAE Rio das Pedras</c:v>
                </c:pt>
                <c:pt idx="6">
                  <c:v>SAAE Salto</c:v>
                </c:pt>
                <c:pt idx="7">
                  <c:v>SAAE São Pedro</c:v>
                </c:pt>
                <c:pt idx="8">
                  <c:v> SAEAN Artur Nogueira</c:v>
                </c:pt>
                <c:pt idx="9">
                  <c:v>SANEBAVI Vinhedo</c:v>
                </c:pt>
                <c:pt idx="10">
                  <c:v>DAE Holambra</c:v>
                </c:pt>
                <c:pt idx="11">
                  <c:v>Prefeitura Ipeúna</c:v>
                </c:pt>
                <c:pt idx="12">
                  <c:v>Prefeitura Iracemápolis</c:v>
                </c:pt>
                <c:pt idx="13">
                  <c:v>Prefeitura Louveira</c:v>
                </c:pt>
                <c:pt idx="14">
                  <c:v>Prefeitura Rafard</c:v>
                </c:pt>
                <c:pt idx="15">
                  <c:v>Prefeitura Saltinho</c:v>
                </c:pt>
                <c:pt idx="16">
                  <c:v>Prefeitura Santa Gertrudes</c:v>
                </c:pt>
                <c:pt idx="17">
                  <c:v>Prefeitura Santo Antônio de Posse</c:v>
                </c:pt>
                <c:pt idx="18">
                  <c:v>SABESP Charqueada</c:v>
                </c:pt>
                <c:pt idx="19">
                  <c:v>SABESP Cabreúva</c:v>
                </c:pt>
                <c:pt idx="20">
                  <c:v>SABESP Elias Fausto</c:v>
                </c:pt>
                <c:pt idx="21">
                  <c:v>SABESP Campo Limpo Paulista</c:v>
                </c:pt>
                <c:pt idx="22">
                  <c:v>SABESP Itupeva</c:v>
                </c:pt>
                <c:pt idx="23">
                  <c:v>SABESP Jarinu</c:v>
                </c:pt>
                <c:pt idx="24">
                  <c:v>SABESP Joanópolis</c:v>
                </c:pt>
                <c:pt idx="25">
                  <c:v>SABESP Mairiporã</c:v>
                </c:pt>
                <c:pt idx="26">
                  <c:v>SABESP Mombuca</c:v>
                </c:pt>
                <c:pt idx="27">
                  <c:v>SABESP Morungaba</c:v>
                </c:pt>
                <c:pt idx="28">
                  <c:v>SABESP Pedra Bela</c:v>
                </c:pt>
                <c:pt idx="29">
                  <c:v>SABESP Pinhalzinho</c:v>
                </c:pt>
                <c:pt idx="30">
                  <c:v>SABESP Águas de São Pedro</c:v>
                </c:pt>
                <c:pt idx="31">
                  <c:v>SABESP Vargem</c:v>
                </c:pt>
                <c:pt idx="32">
                  <c:v>SABESP Várzea Paulista</c:v>
                </c:pt>
              </c:strCache>
            </c:strRef>
          </c:cat>
          <c:val>
            <c:numRef>
              <c:f>'Dados Graf Est'!$B$4:$AH$4</c:f>
              <c:numCache>
                <c:formatCode>0.00%</c:formatCode>
                <c:ptCount val="33"/>
                <c:pt idx="0">
                  <c:v>1.3984616452454579E-2</c:v>
                </c:pt>
                <c:pt idx="1">
                  <c:v>2.389029839902905E-2</c:v>
                </c:pt>
                <c:pt idx="2">
                  <c:v>2.9289884988129362E-2</c:v>
                </c:pt>
                <c:pt idx="3">
                  <c:v>4.5155048948135483E-2</c:v>
                </c:pt>
                <c:pt idx="4">
                  <c:v>1.6306324888191209E-2</c:v>
                </c:pt>
                <c:pt idx="5">
                  <c:v>2.5434907559166053E-2</c:v>
                </c:pt>
                <c:pt idx="6">
                  <c:v>2.2852882753901814E-2</c:v>
                </c:pt>
                <c:pt idx="7">
                  <c:v>1.9252200563962221E-2</c:v>
                </c:pt>
                <c:pt idx="8">
                  <c:v>2.8639258848010211E-2</c:v>
                </c:pt>
                <c:pt idx="9">
                  <c:v>1.3248384650453807E-2</c:v>
                </c:pt>
                <c:pt idx="10">
                  <c:v>2.4574437389405651E-2</c:v>
                </c:pt>
                <c:pt idx="11">
                  <c:v>2.6725720424333133E-2</c:v>
                </c:pt>
                <c:pt idx="12">
                  <c:v>6.1413867590915114E-3</c:v>
                </c:pt>
                <c:pt idx="13">
                  <c:v>4.0974065750025955E-2</c:v>
                </c:pt>
                <c:pt idx="14">
                  <c:v>9.8006849929393666E-2</c:v>
                </c:pt>
                <c:pt idx="15">
                  <c:v>0</c:v>
                </c:pt>
                <c:pt idx="16">
                  <c:v>6.0355216577681108E-2</c:v>
                </c:pt>
                <c:pt idx="17">
                  <c:v>0.10988963011431595</c:v>
                </c:pt>
                <c:pt idx="18">
                  <c:v>4.303198071011473E-3</c:v>
                </c:pt>
                <c:pt idx="19">
                  <c:v>1.1961990231219277E-2</c:v>
                </c:pt>
                <c:pt idx="20">
                  <c:v>1.3273767741435061E-2</c:v>
                </c:pt>
                <c:pt idx="21">
                  <c:v>3.0931582254698376E-2</c:v>
                </c:pt>
                <c:pt idx="22">
                  <c:v>1.2538721485986601E-2</c:v>
                </c:pt>
                <c:pt idx="23">
                  <c:v>1.5310248571179396E-2</c:v>
                </c:pt>
                <c:pt idx="24">
                  <c:v>2.2043473710857252E-2</c:v>
                </c:pt>
                <c:pt idx="25">
                  <c:v>5.0485517668136803E-3</c:v>
                </c:pt>
                <c:pt idx="26">
                  <c:v>1.2012992606533058E-2</c:v>
                </c:pt>
                <c:pt idx="27">
                  <c:v>1.2632948419394894E-2</c:v>
                </c:pt>
                <c:pt idx="28">
                  <c:v>1.4801913442269221E-2</c:v>
                </c:pt>
                <c:pt idx="29">
                  <c:v>1.4196457237776327E-2</c:v>
                </c:pt>
                <c:pt idx="30">
                  <c:v>1.0739152657880103E-2</c:v>
                </c:pt>
                <c:pt idx="31">
                  <c:v>2.5515259254627613E-2</c:v>
                </c:pt>
                <c:pt idx="32">
                  <c:v>1.9232755527567588E-2</c:v>
                </c:pt>
              </c:numCache>
            </c:numRef>
          </c:val>
        </c:ser>
        <c:ser>
          <c:idx val="3"/>
          <c:order val="2"/>
          <c:tx>
            <c:strRef>
              <c:f>'Dados Graf Est'!$A$5</c:f>
              <c:strCache>
                <c:ptCount val="1"/>
                <c:pt idx="0">
                  <c:v>2009</c:v>
                </c:pt>
              </c:strCache>
            </c:strRef>
          </c:tx>
          <c:spPr>
            <a:solidFill>
              <a:schemeClr val="tx1">
                <a:lumMod val="50000"/>
                <a:lumOff val="50000"/>
              </a:schemeClr>
            </a:solidFill>
          </c:spPr>
          <c:cat>
            <c:strRef>
              <c:f>'Dados Graf Est'!$B$2:$AH$2</c:f>
              <c:strCache>
                <c:ptCount val="33"/>
                <c:pt idx="0">
                  <c:v>CODEN Nova Odessa</c:v>
                </c:pt>
                <c:pt idx="1">
                  <c:v>DAAE Rio Claro</c:v>
                </c:pt>
                <c:pt idx="2">
                  <c:v>SAAE Capivari</c:v>
                </c:pt>
                <c:pt idx="3">
                  <c:v>SAAE Codeirópolis</c:v>
                </c:pt>
                <c:pt idx="4">
                  <c:v>SAAE Indaiatuba</c:v>
                </c:pt>
                <c:pt idx="5">
                  <c:v>SAAE Rio das Pedras</c:v>
                </c:pt>
                <c:pt idx="6">
                  <c:v>SAAE Salto</c:v>
                </c:pt>
                <c:pt idx="7">
                  <c:v>SAAE São Pedro</c:v>
                </c:pt>
                <c:pt idx="8">
                  <c:v> SAEAN Artur Nogueira</c:v>
                </c:pt>
                <c:pt idx="9">
                  <c:v>SANEBAVI Vinhedo</c:v>
                </c:pt>
                <c:pt idx="10">
                  <c:v>DAE Holambra</c:v>
                </c:pt>
                <c:pt idx="11">
                  <c:v>Prefeitura Ipeúna</c:v>
                </c:pt>
                <c:pt idx="12">
                  <c:v>Prefeitura Iracemápolis</c:v>
                </c:pt>
                <c:pt idx="13">
                  <c:v>Prefeitura Louveira</c:v>
                </c:pt>
                <c:pt idx="14">
                  <c:v>Prefeitura Rafard</c:v>
                </c:pt>
                <c:pt idx="15">
                  <c:v>Prefeitura Saltinho</c:v>
                </c:pt>
                <c:pt idx="16">
                  <c:v>Prefeitura Santa Gertrudes</c:v>
                </c:pt>
                <c:pt idx="17">
                  <c:v>Prefeitura Santo Antônio de Posse</c:v>
                </c:pt>
                <c:pt idx="18">
                  <c:v>SABESP Charqueada</c:v>
                </c:pt>
                <c:pt idx="19">
                  <c:v>SABESP Cabreúva</c:v>
                </c:pt>
                <c:pt idx="20">
                  <c:v>SABESP Elias Fausto</c:v>
                </c:pt>
                <c:pt idx="21">
                  <c:v>SABESP Campo Limpo Paulista</c:v>
                </c:pt>
                <c:pt idx="22">
                  <c:v>SABESP Itupeva</c:v>
                </c:pt>
                <c:pt idx="23">
                  <c:v>SABESP Jarinu</c:v>
                </c:pt>
                <c:pt idx="24">
                  <c:v>SABESP Joanópolis</c:v>
                </c:pt>
                <c:pt idx="25">
                  <c:v>SABESP Mairiporã</c:v>
                </c:pt>
                <c:pt idx="26">
                  <c:v>SABESP Mombuca</c:v>
                </c:pt>
                <c:pt idx="27">
                  <c:v>SABESP Morungaba</c:v>
                </c:pt>
                <c:pt idx="28">
                  <c:v>SABESP Pedra Bela</c:v>
                </c:pt>
                <c:pt idx="29">
                  <c:v>SABESP Pinhalzinho</c:v>
                </c:pt>
                <c:pt idx="30">
                  <c:v>SABESP Águas de São Pedro</c:v>
                </c:pt>
                <c:pt idx="31">
                  <c:v>SABESP Vargem</c:v>
                </c:pt>
                <c:pt idx="32">
                  <c:v>SABESP Várzea Paulista</c:v>
                </c:pt>
              </c:strCache>
            </c:strRef>
          </c:cat>
          <c:val>
            <c:numRef>
              <c:f>'Dados Graf Est'!$B$5:$AH$5</c:f>
              <c:numCache>
                <c:formatCode>0.00%</c:formatCode>
                <c:ptCount val="33"/>
                <c:pt idx="0">
                  <c:v>1.1931898859445969E-2</c:v>
                </c:pt>
                <c:pt idx="1">
                  <c:v>7.8628961077162832E-3</c:v>
                </c:pt>
                <c:pt idx="2">
                  <c:v>2.5955592555267006E-2</c:v>
                </c:pt>
                <c:pt idx="3">
                  <c:v>3.8011106357379816E-2</c:v>
                </c:pt>
                <c:pt idx="4">
                  <c:v>1.5900900227148809E-2</c:v>
                </c:pt>
                <c:pt idx="5">
                  <c:v>2.6352811242282427E-2</c:v>
                </c:pt>
                <c:pt idx="6">
                  <c:v>1.7956488051443918E-2</c:v>
                </c:pt>
                <c:pt idx="7">
                  <c:v>1.8209150836104904E-2</c:v>
                </c:pt>
                <c:pt idx="8">
                  <c:v>2.5993123589286012E-2</c:v>
                </c:pt>
                <c:pt idx="9">
                  <c:v>1.2048197550285598E-2</c:v>
                </c:pt>
                <c:pt idx="10">
                  <c:v>0</c:v>
                </c:pt>
                <c:pt idx="11">
                  <c:v>2.7639635719717424E-2</c:v>
                </c:pt>
                <c:pt idx="12">
                  <c:v>1.2284136854839619E-2</c:v>
                </c:pt>
                <c:pt idx="13">
                  <c:v>0</c:v>
                </c:pt>
                <c:pt idx="14">
                  <c:v>8.3124399825404718E-2</c:v>
                </c:pt>
                <c:pt idx="15">
                  <c:v>0</c:v>
                </c:pt>
                <c:pt idx="16">
                  <c:v>9.0234102052268519E-2</c:v>
                </c:pt>
                <c:pt idx="17">
                  <c:v>9.6394370548045588E-2</c:v>
                </c:pt>
                <c:pt idx="18">
                  <c:v>4.2933814542919432E-3</c:v>
                </c:pt>
                <c:pt idx="19">
                  <c:v>1.1029184275265204E-2</c:v>
                </c:pt>
                <c:pt idx="20">
                  <c:v>1.2132662629306634E-2</c:v>
                </c:pt>
                <c:pt idx="21">
                  <c:v>2.9701917925779569E-2</c:v>
                </c:pt>
                <c:pt idx="22">
                  <c:v>1.596407774633549E-2</c:v>
                </c:pt>
                <c:pt idx="23">
                  <c:v>1.2474720437967305E-2</c:v>
                </c:pt>
                <c:pt idx="24">
                  <c:v>2.0502652345931967E-2</c:v>
                </c:pt>
                <c:pt idx="25">
                  <c:v>5.9428069836886203E-3</c:v>
                </c:pt>
                <c:pt idx="26">
                  <c:v>1.23598437609723E-2</c:v>
                </c:pt>
                <c:pt idx="27">
                  <c:v>1.1577906704805237E-2</c:v>
                </c:pt>
                <c:pt idx="28">
                  <c:v>1.396485181520689E-2</c:v>
                </c:pt>
                <c:pt idx="29">
                  <c:v>1.3331113646375969E-2</c:v>
                </c:pt>
                <c:pt idx="30">
                  <c:v>1.5324999164817974E-2</c:v>
                </c:pt>
                <c:pt idx="31">
                  <c:v>2.5911672256634672E-2</c:v>
                </c:pt>
                <c:pt idx="32">
                  <c:v>1.8494696427685687E-2</c:v>
                </c:pt>
              </c:numCache>
            </c:numRef>
          </c:val>
        </c:ser>
        <c:ser>
          <c:idx val="4"/>
          <c:order val="3"/>
          <c:tx>
            <c:strRef>
              <c:f>'Dados Graf Est'!$A$6</c:f>
              <c:strCache>
                <c:ptCount val="1"/>
                <c:pt idx="0">
                  <c:v>2010</c:v>
                </c:pt>
              </c:strCache>
            </c:strRef>
          </c:tx>
          <c:spPr>
            <a:solidFill>
              <a:schemeClr val="bg1">
                <a:lumMod val="65000"/>
              </a:schemeClr>
            </a:solidFill>
          </c:spPr>
          <c:cat>
            <c:strRef>
              <c:f>'Dados Graf Est'!$B$2:$AH$2</c:f>
              <c:strCache>
                <c:ptCount val="33"/>
                <c:pt idx="0">
                  <c:v>CODEN Nova Odessa</c:v>
                </c:pt>
                <c:pt idx="1">
                  <c:v>DAAE Rio Claro</c:v>
                </c:pt>
                <c:pt idx="2">
                  <c:v>SAAE Capivari</c:v>
                </c:pt>
                <c:pt idx="3">
                  <c:v>SAAE Codeirópolis</c:v>
                </c:pt>
                <c:pt idx="4">
                  <c:v>SAAE Indaiatuba</c:v>
                </c:pt>
                <c:pt idx="5">
                  <c:v>SAAE Rio das Pedras</c:v>
                </c:pt>
                <c:pt idx="6">
                  <c:v>SAAE Salto</c:v>
                </c:pt>
                <c:pt idx="7">
                  <c:v>SAAE São Pedro</c:v>
                </c:pt>
                <c:pt idx="8">
                  <c:v> SAEAN Artur Nogueira</c:v>
                </c:pt>
                <c:pt idx="9">
                  <c:v>SANEBAVI Vinhedo</c:v>
                </c:pt>
                <c:pt idx="10">
                  <c:v>DAE Holambra</c:v>
                </c:pt>
                <c:pt idx="11">
                  <c:v>Prefeitura Ipeúna</c:v>
                </c:pt>
                <c:pt idx="12">
                  <c:v>Prefeitura Iracemápolis</c:v>
                </c:pt>
                <c:pt idx="13">
                  <c:v>Prefeitura Louveira</c:v>
                </c:pt>
                <c:pt idx="14">
                  <c:v>Prefeitura Rafard</c:v>
                </c:pt>
                <c:pt idx="15">
                  <c:v>Prefeitura Saltinho</c:v>
                </c:pt>
                <c:pt idx="16">
                  <c:v>Prefeitura Santa Gertrudes</c:v>
                </c:pt>
                <c:pt idx="17">
                  <c:v>Prefeitura Santo Antônio de Posse</c:v>
                </c:pt>
                <c:pt idx="18">
                  <c:v>SABESP Charqueada</c:v>
                </c:pt>
                <c:pt idx="19">
                  <c:v>SABESP Cabreúva</c:v>
                </c:pt>
                <c:pt idx="20">
                  <c:v>SABESP Elias Fausto</c:v>
                </c:pt>
                <c:pt idx="21">
                  <c:v>SABESP Campo Limpo Paulista</c:v>
                </c:pt>
                <c:pt idx="22">
                  <c:v>SABESP Itupeva</c:v>
                </c:pt>
                <c:pt idx="23">
                  <c:v>SABESP Jarinu</c:v>
                </c:pt>
                <c:pt idx="24">
                  <c:v>SABESP Joanópolis</c:v>
                </c:pt>
                <c:pt idx="25">
                  <c:v>SABESP Mairiporã</c:v>
                </c:pt>
                <c:pt idx="26">
                  <c:v>SABESP Mombuca</c:v>
                </c:pt>
                <c:pt idx="27">
                  <c:v>SABESP Morungaba</c:v>
                </c:pt>
                <c:pt idx="28">
                  <c:v>SABESP Pedra Bela</c:v>
                </c:pt>
                <c:pt idx="29">
                  <c:v>SABESP Pinhalzinho</c:v>
                </c:pt>
                <c:pt idx="30">
                  <c:v>SABESP Águas de São Pedro</c:v>
                </c:pt>
                <c:pt idx="31">
                  <c:v>SABESP Vargem</c:v>
                </c:pt>
                <c:pt idx="32">
                  <c:v>SABESP Várzea Paulista</c:v>
                </c:pt>
              </c:strCache>
            </c:strRef>
          </c:cat>
          <c:val>
            <c:numRef>
              <c:f>'Dados Graf Est'!$B$6:$AH$6</c:f>
              <c:numCache>
                <c:formatCode>0.00%</c:formatCode>
                <c:ptCount val="33"/>
                <c:pt idx="0">
                  <c:v>1.3041490948086341E-2</c:v>
                </c:pt>
                <c:pt idx="1">
                  <c:v>6.5008314176582321E-3</c:v>
                </c:pt>
                <c:pt idx="2">
                  <c:v>1.9901620731532663E-2</c:v>
                </c:pt>
                <c:pt idx="3">
                  <c:v>2.8831786246715774E-2</c:v>
                </c:pt>
                <c:pt idx="4">
                  <c:v>1.3364013997451353E-2</c:v>
                </c:pt>
                <c:pt idx="5">
                  <c:v>2.3697945736146215E-2</c:v>
                </c:pt>
                <c:pt idx="6">
                  <c:v>9.9962847230617262E-3</c:v>
                </c:pt>
                <c:pt idx="7">
                  <c:v>1.612008592785448E-2</c:v>
                </c:pt>
                <c:pt idx="8">
                  <c:v>2.1156132578546406E-2</c:v>
                </c:pt>
                <c:pt idx="9">
                  <c:v>1.1113238419226601E-2</c:v>
                </c:pt>
                <c:pt idx="10">
                  <c:v>0</c:v>
                </c:pt>
                <c:pt idx="11">
                  <c:v>2.6194735670589095E-2</c:v>
                </c:pt>
                <c:pt idx="12">
                  <c:v>0</c:v>
                </c:pt>
                <c:pt idx="13">
                  <c:v>2.7311712296070222E-2</c:v>
                </c:pt>
                <c:pt idx="14">
                  <c:v>6.8130091122480502E-2</c:v>
                </c:pt>
                <c:pt idx="15">
                  <c:v>1.4798019434308227E-2</c:v>
                </c:pt>
                <c:pt idx="16">
                  <c:v>0.10007688320924571</c:v>
                </c:pt>
                <c:pt idx="17">
                  <c:v>5.0058650051819024E-2</c:v>
                </c:pt>
                <c:pt idx="18">
                  <c:v>2.3389771526462215E-3</c:v>
                </c:pt>
                <c:pt idx="19">
                  <c:v>8.304364456604988E-3</c:v>
                </c:pt>
                <c:pt idx="20">
                  <c:v>1.0576863243260543E-2</c:v>
                </c:pt>
                <c:pt idx="21">
                  <c:v>2.7675207900576988E-2</c:v>
                </c:pt>
                <c:pt idx="22">
                  <c:v>1.2338061569566799E-2</c:v>
                </c:pt>
                <c:pt idx="23">
                  <c:v>1.0676664306186611E-2</c:v>
                </c:pt>
                <c:pt idx="24">
                  <c:v>1.930269815619574E-2</c:v>
                </c:pt>
                <c:pt idx="25">
                  <c:v>3.5460911106754427E-3</c:v>
                </c:pt>
                <c:pt idx="26">
                  <c:v>1.0437435618370327E-2</c:v>
                </c:pt>
                <c:pt idx="27">
                  <c:v>1.0040157617235076E-2</c:v>
                </c:pt>
                <c:pt idx="28">
                  <c:v>1.3112761165575944E-2</c:v>
                </c:pt>
                <c:pt idx="29">
                  <c:v>1.5592163165696339E-2</c:v>
                </c:pt>
                <c:pt idx="30">
                  <c:v>1.4544692823840568E-2</c:v>
                </c:pt>
                <c:pt idx="31">
                  <c:v>2.2197202715326235E-2</c:v>
                </c:pt>
                <c:pt idx="32">
                  <c:v>1.6996706452273261E-2</c:v>
                </c:pt>
              </c:numCache>
            </c:numRef>
          </c:val>
        </c:ser>
        <c:ser>
          <c:idx val="5"/>
          <c:order val="4"/>
          <c:tx>
            <c:strRef>
              <c:f>'Dados Graf Est'!$A$7</c:f>
              <c:strCache>
                <c:ptCount val="1"/>
                <c:pt idx="0">
                  <c:v>2016</c:v>
                </c:pt>
              </c:strCache>
            </c:strRef>
          </c:tx>
          <c:spPr>
            <a:solidFill>
              <a:schemeClr val="accent6">
                <a:lumMod val="75000"/>
              </a:schemeClr>
            </a:solidFill>
          </c:spPr>
          <c:cat>
            <c:strRef>
              <c:f>'Dados Graf Est'!$B$2:$AH$2</c:f>
              <c:strCache>
                <c:ptCount val="33"/>
                <c:pt idx="0">
                  <c:v>CODEN Nova Odessa</c:v>
                </c:pt>
                <c:pt idx="1">
                  <c:v>DAAE Rio Claro</c:v>
                </c:pt>
                <c:pt idx="2">
                  <c:v>SAAE Capivari</c:v>
                </c:pt>
                <c:pt idx="3">
                  <c:v>SAAE Codeirópolis</c:v>
                </c:pt>
                <c:pt idx="4">
                  <c:v>SAAE Indaiatuba</c:v>
                </c:pt>
                <c:pt idx="5">
                  <c:v>SAAE Rio das Pedras</c:v>
                </c:pt>
                <c:pt idx="6">
                  <c:v>SAAE Salto</c:v>
                </c:pt>
                <c:pt idx="7">
                  <c:v>SAAE São Pedro</c:v>
                </c:pt>
                <c:pt idx="8">
                  <c:v> SAEAN Artur Nogueira</c:v>
                </c:pt>
                <c:pt idx="9">
                  <c:v>SANEBAVI Vinhedo</c:v>
                </c:pt>
                <c:pt idx="10">
                  <c:v>DAE Holambra</c:v>
                </c:pt>
                <c:pt idx="11">
                  <c:v>Prefeitura Ipeúna</c:v>
                </c:pt>
                <c:pt idx="12">
                  <c:v>Prefeitura Iracemápolis</c:v>
                </c:pt>
                <c:pt idx="13">
                  <c:v>Prefeitura Louveira</c:v>
                </c:pt>
                <c:pt idx="14">
                  <c:v>Prefeitura Rafard</c:v>
                </c:pt>
                <c:pt idx="15">
                  <c:v>Prefeitura Saltinho</c:v>
                </c:pt>
                <c:pt idx="16">
                  <c:v>Prefeitura Santa Gertrudes</c:v>
                </c:pt>
                <c:pt idx="17">
                  <c:v>Prefeitura Santo Antônio de Posse</c:v>
                </c:pt>
                <c:pt idx="18">
                  <c:v>SABESP Charqueada</c:v>
                </c:pt>
                <c:pt idx="19">
                  <c:v>SABESP Cabreúva</c:v>
                </c:pt>
                <c:pt idx="20">
                  <c:v>SABESP Elias Fausto</c:v>
                </c:pt>
                <c:pt idx="21">
                  <c:v>SABESP Campo Limpo Paulista</c:v>
                </c:pt>
                <c:pt idx="22">
                  <c:v>SABESP Itupeva</c:v>
                </c:pt>
                <c:pt idx="23">
                  <c:v>SABESP Jarinu</c:v>
                </c:pt>
                <c:pt idx="24">
                  <c:v>SABESP Joanópolis</c:v>
                </c:pt>
                <c:pt idx="25">
                  <c:v>SABESP Mairiporã</c:v>
                </c:pt>
                <c:pt idx="26">
                  <c:v>SABESP Mombuca</c:v>
                </c:pt>
                <c:pt idx="27">
                  <c:v>SABESP Morungaba</c:v>
                </c:pt>
                <c:pt idx="28">
                  <c:v>SABESP Pedra Bela</c:v>
                </c:pt>
                <c:pt idx="29">
                  <c:v>SABESP Pinhalzinho</c:v>
                </c:pt>
                <c:pt idx="30">
                  <c:v>SABESP Águas de São Pedro</c:v>
                </c:pt>
                <c:pt idx="31">
                  <c:v>SABESP Vargem</c:v>
                </c:pt>
                <c:pt idx="32">
                  <c:v>SABESP Várzea Paulista</c:v>
                </c:pt>
              </c:strCache>
            </c:strRef>
          </c:cat>
          <c:val>
            <c:numRef>
              <c:f>'Dados Graf Est'!$B$7:$AH$7</c:f>
              <c:numCache>
                <c:formatCode>0.00%</c:formatCode>
                <c:ptCount val="33"/>
                <c:pt idx="0">
                  <c:v>1.3407646085264959E-2</c:v>
                </c:pt>
                <c:pt idx="1">
                  <c:v>1.1472880853976441E-2</c:v>
                </c:pt>
                <c:pt idx="2">
                  <c:v>3.7254447835356218E-2</c:v>
                </c:pt>
                <c:pt idx="3">
                  <c:v>2.8278933159814612E-2</c:v>
                </c:pt>
                <c:pt idx="4">
                  <c:v>5.0083520878665922E-3</c:v>
                </c:pt>
                <c:pt idx="5">
                  <c:v>1.8578466179692728E-2</c:v>
                </c:pt>
                <c:pt idx="6">
                  <c:v>9.8046047203245567E-3</c:v>
                </c:pt>
                <c:pt idx="7">
                  <c:v>2.9258962809192404E-2</c:v>
                </c:pt>
                <c:pt idx="8">
                  <c:v>2.9137188071191884E-2</c:v>
                </c:pt>
                <c:pt idx="9">
                  <c:v>8.5638107152549766E-3</c:v>
                </c:pt>
                <c:pt idx="10">
                  <c:v>0</c:v>
                </c:pt>
                <c:pt idx="11">
                  <c:v>3.1194421494631377E-2</c:v>
                </c:pt>
                <c:pt idx="12">
                  <c:v>0</c:v>
                </c:pt>
                <c:pt idx="13">
                  <c:v>3.5756701437214614E-2</c:v>
                </c:pt>
                <c:pt idx="14">
                  <c:v>6.6823674116537127E-2</c:v>
                </c:pt>
                <c:pt idx="15">
                  <c:v>3.5808151565566645E-2</c:v>
                </c:pt>
                <c:pt idx="16">
                  <c:v>5.4599701802282262E-2</c:v>
                </c:pt>
                <c:pt idx="17">
                  <c:v>4.8946076318455795E-2</c:v>
                </c:pt>
                <c:pt idx="18">
                  <c:v>6.9111878711260854E-3</c:v>
                </c:pt>
                <c:pt idx="19">
                  <c:v>9.7478092677159706E-3</c:v>
                </c:pt>
                <c:pt idx="20">
                  <c:v>1.5618905950618097E-2</c:v>
                </c:pt>
                <c:pt idx="21">
                  <c:v>1.4164213473992358E-2</c:v>
                </c:pt>
                <c:pt idx="22">
                  <c:v>1.0892833435461081E-2</c:v>
                </c:pt>
                <c:pt idx="23">
                  <c:v>7.1151168546829775E-3</c:v>
                </c:pt>
                <c:pt idx="24">
                  <c:v>2.7413194613446212E-2</c:v>
                </c:pt>
                <c:pt idx="25">
                  <c:v>9.990030944525565E-4</c:v>
                </c:pt>
                <c:pt idx="26">
                  <c:v>1.0259365029197606E-2</c:v>
                </c:pt>
                <c:pt idx="27">
                  <c:v>9.8706493867731764E-3</c:v>
                </c:pt>
                <c:pt idx="28">
                  <c:v>1.2861322339477867E-2</c:v>
                </c:pt>
                <c:pt idx="29">
                  <c:v>1.1964306477284642E-2</c:v>
                </c:pt>
                <c:pt idx="30">
                  <c:v>1.42657965301153E-2</c:v>
                </c:pt>
                <c:pt idx="31">
                  <c:v>2.1771568592738849E-2</c:v>
                </c:pt>
                <c:pt idx="32">
                  <c:v>1.5744024387039594E-2</c:v>
                </c:pt>
              </c:numCache>
            </c:numRef>
          </c:val>
        </c:ser>
        <c:axId val="96347648"/>
        <c:axId val="96349184"/>
      </c:barChart>
      <c:catAx>
        <c:axId val="96347648"/>
        <c:scaling>
          <c:orientation val="minMax"/>
        </c:scaling>
        <c:axPos val="b"/>
        <c:numFmt formatCode="General" sourceLinked="0"/>
        <c:tickLblPos val="nextTo"/>
        <c:crossAx val="96349184"/>
        <c:crosses val="autoZero"/>
        <c:auto val="1"/>
        <c:lblAlgn val="ctr"/>
        <c:lblOffset val="100"/>
      </c:catAx>
      <c:valAx>
        <c:axId val="96349184"/>
        <c:scaling>
          <c:orientation val="minMax"/>
        </c:scaling>
        <c:axPos val="l"/>
        <c:majorGridlines/>
        <c:minorGridlines/>
        <c:numFmt formatCode="0.0%" sourceLinked="0"/>
        <c:tickLblPos val="nextTo"/>
        <c:crossAx val="96347648"/>
        <c:crosses val="autoZero"/>
        <c:crossBetween val="between"/>
      </c:valAx>
    </c:plotArea>
    <c:legend>
      <c:legendPos val="b"/>
    </c:legend>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pt-BR"/>
  <c:clrMapOvr bg1="lt1" tx1="dk1" bg2="lt2" tx2="dk2" accent1="accent1" accent2="accent2" accent3="accent3" accent4="accent4" accent5="accent5" accent6="accent6" hlink="hlink" folHlink="folHlink"/>
  <c:chart>
    <c:title>
      <c:tx>
        <c:rich>
          <a:bodyPr/>
          <a:lstStyle/>
          <a:p>
            <a:pPr>
              <a:defRPr b="1"/>
            </a:pPr>
            <a:r>
              <a:rPr lang="pt-BR" b="1"/>
              <a:t>Cobrança Federal</a:t>
            </a:r>
          </a:p>
        </c:rich>
      </c:tx>
    </c:title>
    <c:view3D>
      <c:rotX val="30"/>
      <c:rotY val="10"/>
      <c:perspective val="30"/>
    </c:view3D>
    <c:plotArea>
      <c:layout>
        <c:manualLayout>
          <c:layoutTarget val="inner"/>
          <c:xMode val="edge"/>
          <c:yMode val="edge"/>
          <c:x val="7.6540078192763204E-3"/>
          <c:y val="0.31702340985721367"/>
          <c:w val="0.75054223017135102"/>
          <c:h val="0.47987412877405716"/>
        </c:manualLayout>
      </c:layout>
      <c:pie3DChart>
        <c:varyColors val="1"/>
        <c:ser>
          <c:idx val="0"/>
          <c:order val="0"/>
          <c:explosion val="15"/>
          <c:dLbls>
            <c:numFmt formatCode="0.00%" sourceLinked="0"/>
            <c:spPr>
              <a:noFill/>
              <a:ln>
                <a:noFill/>
              </a:ln>
              <a:effectLst/>
            </c:spPr>
            <c:txPr>
              <a:bodyPr/>
              <a:lstStyle/>
              <a:p>
                <a:pPr>
                  <a:defRPr b="1"/>
                </a:pPr>
                <a:endParaRPr lang="pt-BR"/>
              </a:p>
            </c:txPr>
            <c:showPercent val="1"/>
            <c:showLeaderLines val="1"/>
            <c:extLst>
              <c:ext xmlns:c15="http://schemas.microsoft.com/office/drawing/2012/chart" uri="{CE6537A1-D6FC-4f65-9D91-7224C49458BB}">
                <c15:layout/>
              </c:ext>
            </c:extLst>
          </c:dLbls>
          <c:cat>
            <c:multiLvlStrRef>
              <c:f>'RESUMO GERAL'!$I$26:$J$30</c:f>
              <c:multiLvlStrCache>
                <c:ptCount val="5"/>
                <c:lvl>
                  <c:pt idx="0">
                    <c:v> R$ 51.724.696,93 </c:v>
                  </c:pt>
                  <c:pt idx="1">
                    <c:v> R$ 42.447.580,42 </c:v>
                  </c:pt>
                  <c:pt idx="2">
                    <c:v> R$ 338.787,00 </c:v>
                  </c:pt>
                  <c:pt idx="3">
                    <c:v> R$ 7.366.579,72 </c:v>
                  </c:pt>
                  <c:pt idx="4">
                    <c:v> R$ 8.578.309,44 </c:v>
                  </c:pt>
                </c:lvl>
                <c:lvl>
                  <c:pt idx="0">
                    <c:v>PDC 3 - Tratamento de esgoto</c:v>
                  </c:pt>
                  <c:pt idx="1">
                    <c:v>PDC 5 - Controle de perdas</c:v>
                  </c:pt>
                  <c:pt idx="2">
                    <c:v>PDC 4 - Reflorestamento</c:v>
                  </c:pt>
                  <c:pt idx="3">
                    <c:v>Outras ações </c:v>
                  </c:pt>
                  <c:pt idx="4">
                    <c:v>Ações Apoio Gestão </c:v>
                  </c:pt>
                </c:lvl>
              </c:multiLvlStrCache>
            </c:multiLvlStrRef>
          </c:cat>
          <c:val>
            <c:numRef>
              <c:f>'RESUMO GERAL'!$J$26:$J$30</c:f>
              <c:numCache>
                <c:formatCode>_-"R$"\ * #,##0.00_-;\-"R$"\ * #,##0.00_-;_-"R$"\ * "-"??_-;_-@_-</c:formatCode>
                <c:ptCount val="5"/>
                <c:pt idx="0">
                  <c:v>51724696.930000007</c:v>
                </c:pt>
                <c:pt idx="1">
                  <c:v>42447580.420000002</c:v>
                </c:pt>
                <c:pt idx="2">
                  <c:v>338787</c:v>
                </c:pt>
                <c:pt idx="3">
                  <c:v>7366579.7200000007</c:v>
                </c:pt>
                <c:pt idx="4">
                  <c:v>8578309.439999979</c:v>
                </c:pt>
              </c:numCache>
            </c:numRef>
          </c:val>
        </c:ser>
      </c:pie3DChart>
      <c:spPr>
        <a:noFill/>
        <a:ln w="25400">
          <a:noFill/>
        </a:ln>
      </c:spPr>
    </c:plotArea>
    <c:legend>
      <c:legendPos val="t"/>
      <c:layout>
        <c:manualLayout>
          <c:xMode val="edge"/>
          <c:yMode val="edge"/>
          <c:x val="0.63570503874591489"/>
          <c:y val="0.12515624372235043"/>
          <c:w val="0.35973272014013424"/>
          <c:h val="0.74390442237112453"/>
        </c:manualLayout>
      </c:layout>
      <c:txPr>
        <a:bodyPr/>
        <a:lstStyle/>
        <a:p>
          <a:pPr>
            <a:defRPr sz="1100"/>
          </a:pPr>
          <a:endParaRPr lang="pt-BR"/>
        </a:p>
      </c:txPr>
    </c:legend>
    <c:plotVisOnly val="1"/>
    <c:dispBlanksAs val="zero"/>
  </c:chart>
  <c:txPr>
    <a:bodyPr/>
    <a:lstStyle/>
    <a:p>
      <a:pPr>
        <a:defRPr sz="1000" b="0" i="0" u="none" strike="noStrike" baseline="0">
          <a:solidFill>
            <a:srgbClr val="000000"/>
          </a:solidFill>
          <a:latin typeface="Times New Roman" pitchFamily="18" charset="0"/>
          <a:ea typeface="Calibri"/>
          <a:cs typeface="Times New Roman" pitchFamily="18" charset="0"/>
        </a:defRPr>
      </a:pPr>
      <a:endParaRPr lang="pt-BR"/>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pt-BR"/>
  <c:clrMapOvr bg1="lt1" tx1="dk1" bg2="lt2" tx2="dk2" accent1="accent1" accent2="accent2" accent3="accent3" accent4="accent4" accent5="accent5" accent6="accent6" hlink="hlink" folHlink="folHlink"/>
  <c:chart>
    <c:title>
      <c:tx>
        <c:rich>
          <a:bodyPr/>
          <a:lstStyle/>
          <a:p>
            <a:pPr>
              <a:defRPr sz="1800" b="1" i="0" u="none" strike="noStrike" baseline="0">
                <a:solidFill>
                  <a:srgbClr val="000000"/>
                </a:solidFill>
                <a:latin typeface="Calibri"/>
                <a:ea typeface="Calibri"/>
                <a:cs typeface="Calibri"/>
              </a:defRPr>
            </a:pPr>
            <a:r>
              <a:rPr lang="pt-BR"/>
              <a:t>FEHIDRO E COBRANÇAS PCJ</a:t>
            </a:r>
          </a:p>
        </c:rich>
      </c:tx>
    </c:title>
    <c:view3D>
      <c:rotX val="30"/>
      <c:perspective val="20"/>
    </c:view3D>
    <c:plotArea>
      <c:layout>
        <c:manualLayout>
          <c:layoutTarget val="inner"/>
          <c:xMode val="edge"/>
          <c:yMode val="edge"/>
          <c:x val="1.5733738261421524E-2"/>
          <c:y val="0.38699963376670937"/>
          <c:w val="0.7629756397529267"/>
          <c:h val="0.39789621864127556"/>
        </c:manualLayout>
      </c:layout>
      <c:pie3DChart>
        <c:varyColors val="1"/>
        <c:ser>
          <c:idx val="0"/>
          <c:order val="0"/>
          <c:explosion val="14"/>
          <c:dLbls>
            <c:dLbl>
              <c:idx val="4"/>
              <c:layout>
                <c:manualLayout>
                  <c:x val="7.1642169454869259E-2"/>
                  <c:y val="-8.4857556181003962E-2"/>
                </c:manualLayout>
              </c:layout>
              <c:dLblPos val="bestFit"/>
              <c:showLegendKey val="1"/>
              <c:showPercent val="1"/>
              <c:extLst>
                <c:ext xmlns:c15="http://schemas.microsoft.com/office/drawing/2012/chart" uri="{CE6537A1-D6FC-4f65-9D91-7224C49458BB}">
                  <c15:layout/>
                </c:ext>
              </c:extLst>
            </c:dLbl>
            <c:dLbl>
              <c:idx val="5"/>
              <c:layout>
                <c:manualLayout>
                  <c:x val="9.5976204277885196E-2"/>
                  <c:y val="-3.1406211628218386E-3"/>
                </c:manualLayout>
              </c:layout>
              <c:dLblPos val="bestFit"/>
              <c:showLegendKey val="1"/>
              <c:showPercent val="1"/>
              <c:extLst>
                <c:ext xmlns:c15="http://schemas.microsoft.com/office/drawing/2012/chart" uri="{CE6537A1-D6FC-4f65-9D91-7224C49458BB}">
                  <c15:layout/>
                </c:ext>
              </c:extLst>
            </c:dLbl>
            <c:numFmt formatCode="0.00%" sourceLinked="0"/>
            <c:spPr>
              <a:noFill/>
              <a:ln>
                <a:noFill/>
              </a:ln>
              <a:effectLst/>
            </c:spPr>
            <c:txPr>
              <a:bodyPr/>
              <a:lstStyle/>
              <a:p>
                <a:pPr>
                  <a:defRPr sz="1400" b="1" i="0" u="none" strike="noStrike" baseline="0">
                    <a:solidFill>
                      <a:srgbClr val="000000"/>
                    </a:solidFill>
                    <a:latin typeface="Calibri"/>
                    <a:ea typeface="Calibri"/>
                    <a:cs typeface="Calibri"/>
                  </a:defRPr>
                </a:pPr>
                <a:endParaRPr lang="pt-BR"/>
              </a:p>
            </c:txPr>
            <c:showLegendKey val="1"/>
            <c:showPercent val="1"/>
            <c:showLeaderLines val="1"/>
            <c:extLst>
              <c:ext xmlns:c15="http://schemas.microsoft.com/office/drawing/2012/chart" uri="{CE6537A1-D6FC-4f65-9D91-7224C49458BB}">
                <c15:layout/>
              </c:ext>
            </c:extLst>
          </c:dLbls>
          <c:cat>
            <c:multiLvlStrRef>
              <c:f>'RESUMO GERAL'!$I$49:$J$55</c:f>
              <c:multiLvlStrCache>
                <c:ptCount val="7"/>
                <c:lvl>
                  <c:pt idx="0">
                    <c:v> R$ 10.366.462,68 </c:v>
                  </c:pt>
                  <c:pt idx="1">
                    <c:v> R$ 125.965.836,06 </c:v>
                  </c:pt>
                  <c:pt idx="2">
                    <c:v> R$ 83.664.158,26 </c:v>
                  </c:pt>
                  <c:pt idx="3">
                    <c:v> R$ 2.070.519,60 </c:v>
                  </c:pt>
                  <c:pt idx="4">
                    <c:v> R$ 2.702.025,60 </c:v>
                  </c:pt>
                  <c:pt idx="5">
                    <c:v> R$ 8.578.309,44 </c:v>
                  </c:pt>
                  <c:pt idx="6">
                    <c:v> R$ 34.334.862,45 </c:v>
                  </c:pt>
                </c:lvl>
                <c:lvl>
                  <c:pt idx="0">
                    <c:v>PDC 1 -  Base de dados, cadastros, estudos e levantamentos</c:v>
                  </c:pt>
                  <c:pt idx="1">
                    <c:v>PDC 3 - Tratamento de Esgoto </c:v>
                  </c:pt>
                  <c:pt idx="2">
                    <c:v>PDC 5 - Controle de Perdas </c:v>
                  </c:pt>
                  <c:pt idx="3">
                    <c:v>PDC 8 - Educação Ambiental </c:v>
                  </c:pt>
                  <c:pt idx="4">
                    <c:v>PDC 4 - Reflorestamento </c:v>
                  </c:pt>
                  <c:pt idx="5">
                    <c:v>Ações Apoio à Gestão </c:v>
                  </c:pt>
                  <c:pt idx="6">
                    <c:v>Outras ações </c:v>
                  </c:pt>
                </c:lvl>
              </c:multiLvlStrCache>
            </c:multiLvlStrRef>
          </c:cat>
          <c:val>
            <c:numRef>
              <c:f>'RESUMO GERAL'!$J$49:$J$55</c:f>
              <c:numCache>
                <c:formatCode>_([$R$ -416]* #,##0.00_);_([$R$ -416]* \(#,##0.00\);_([$R$ -416]* "-"??_);_(@_)</c:formatCode>
                <c:ptCount val="7"/>
                <c:pt idx="0">
                  <c:v>10366462.680000002</c:v>
                </c:pt>
                <c:pt idx="1">
                  <c:v>125965836.06</c:v>
                </c:pt>
                <c:pt idx="2">
                  <c:v>83664158.260000005</c:v>
                </c:pt>
                <c:pt idx="3">
                  <c:v>2070519.6000000003</c:v>
                </c:pt>
                <c:pt idx="4">
                  <c:v>2702025.5999999987</c:v>
                </c:pt>
                <c:pt idx="5">
                  <c:v>8578309.439999979</c:v>
                </c:pt>
                <c:pt idx="6">
                  <c:v>34334862.449999996</c:v>
                </c:pt>
              </c:numCache>
            </c:numRef>
          </c:val>
        </c:ser>
      </c:pie3DChart>
      <c:spPr>
        <a:noFill/>
        <a:ln w="25400">
          <a:noFill/>
        </a:ln>
      </c:spPr>
    </c:plotArea>
    <c:legend>
      <c:legendPos val="t"/>
      <c:layout>
        <c:manualLayout>
          <c:xMode val="edge"/>
          <c:yMode val="edge"/>
          <c:x val="0.68468808668921655"/>
          <c:y val="9.2825947628639882E-2"/>
          <c:w val="0.28241960300257174"/>
          <c:h val="0.90717405237136062"/>
        </c:manualLayout>
      </c:layout>
      <c:txPr>
        <a:bodyPr/>
        <a:lstStyle/>
        <a:p>
          <a:pPr>
            <a:defRPr sz="1000" b="0" i="0" u="none" strike="noStrike" baseline="0">
              <a:solidFill>
                <a:srgbClr val="000000"/>
              </a:solidFill>
              <a:latin typeface="Times New Roman" pitchFamily="18" charset="0"/>
              <a:ea typeface="Calibri"/>
              <a:cs typeface="Times New Roman" pitchFamily="18" charset="0"/>
            </a:defRPr>
          </a:pPr>
          <a:endParaRPr lang="pt-BR"/>
        </a:p>
      </c:txPr>
    </c:legend>
    <c:plotVisOnly val="1"/>
    <c:dispBlanksAs val="zero"/>
  </c:chart>
  <c:spPr>
    <a:ln>
      <a:noFill/>
    </a:ln>
  </c:spPr>
  <c:txPr>
    <a:bodyPr/>
    <a:lstStyle/>
    <a:p>
      <a:pPr>
        <a:defRPr sz="1000" b="0" i="0" u="none" strike="noStrike" baseline="0">
          <a:solidFill>
            <a:srgbClr val="000000"/>
          </a:solidFill>
          <a:latin typeface="Calibri"/>
          <a:ea typeface="Calibri"/>
          <a:cs typeface="Calibri"/>
        </a:defRPr>
      </a:pPr>
      <a:endParaRPr lang="pt-BR"/>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pt-BR"/>
  <c:clrMapOvr bg1="lt1" tx1="dk1" bg2="lt2" tx2="dk2" accent1="accent1" accent2="accent2" accent3="accent3" accent4="accent4" accent5="accent5" accent6="accent6" hlink="hlink" folHlink="folHlink"/>
  <c:chart>
    <c:title>
      <c:tx>
        <c:rich>
          <a:bodyPr/>
          <a:lstStyle/>
          <a:p>
            <a:pPr>
              <a:defRPr sz="1800" b="1" i="0" u="none" strike="noStrike" baseline="0">
                <a:solidFill>
                  <a:srgbClr val="000000"/>
                </a:solidFill>
                <a:latin typeface="Calibri"/>
                <a:ea typeface="Calibri"/>
                <a:cs typeface="Calibri"/>
              </a:defRPr>
            </a:pPr>
            <a:r>
              <a:rPr lang="pt-BR"/>
              <a:t>Cobrança Mineira</a:t>
            </a:r>
          </a:p>
        </c:rich>
      </c:tx>
    </c:title>
    <c:view3D>
      <c:rotX val="30"/>
      <c:perspective val="30"/>
    </c:view3D>
    <c:plotArea>
      <c:layout>
        <c:manualLayout>
          <c:layoutTarget val="inner"/>
          <c:xMode val="edge"/>
          <c:yMode val="edge"/>
          <c:x val="0.1301760780779227"/>
          <c:y val="0.32883311054540931"/>
          <c:w val="0.83309546306712012"/>
          <c:h val="0.63990556456824865"/>
        </c:manualLayout>
      </c:layout>
      <c:pie3DChart>
        <c:varyColors val="1"/>
        <c:ser>
          <c:idx val="0"/>
          <c:order val="0"/>
          <c:dPt>
            <c:idx val="1"/>
            <c:spPr>
              <a:solidFill>
                <a:schemeClr val="accent3">
                  <a:lumMod val="60000"/>
                  <a:lumOff val="40000"/>
                </a:schemeClr>
              </a:solidFill>
            </c:spPr>
          </c:dPt>
          <c:dLbls>
            <c:dLbl>
              <c:idx val="0"/>
              <c:delete val="1"/>
              <c:extLst>
                <c:ext xmlns:c15="http://schemas.microsoft.com/office/drawing/2012/chart" uri="{CE6537A1-D6FC-4f65-9D91-7224C49458BB}"/>
              </c:extLst>
            </c:dLbl>
            <c:dLbl>
              <c:idx val="1"/>
              <c:layout>
                <c:manualLayout>
                  <c:x val="-2.3960015073682542E-3"/>
                  <c:y val="-0.37768120125513882"/>
                </c:manualLayout>
              </c:layout>
              <c:dLblPos val="bestFit"/>
              <c:showPercent val="1"/>
              <c:extLst>
                <c:ext xmlns:c15="http://schemas.microsoft.com/office/drawing/2012/chart" uri="{CE6537A1-D6FC-4f65-9D91-7224C49458BB}">
                  <c15:layout/>
                </c:ext>
              </c:extLst>
            </c:dLbl>
            <c:spPr>
              <a:noFill/>
              <a:ln>
                <a:noFill/>
              </a:ln>
              <a:effectLst/>
            </c:spPr>
            <c:txPr>
              <a:bodyPr/>
              <a:lstStyle/>
              <a:p>
                <a:pPr>
                  <a:defRPr sz="1600" b="1" i="0" u="none" strike="noStrike" baseline="0">
                    <a:solidFill>
                      <a:srgbClr val="000000"/>
                    </a:solidFill>
                    <a:latin typeface="Calibri"/>
                    <a:ea typeface="Calibri"/>
                    <a:cs typeface="Calibri"/>
                  </a:defRPr>
                </a:pPr>
                <a:endParaRPr lang="pt-BR"/>
              </a:p>
            </c:txPr>
            <c:showPercent val="1"/>
            <c:showLeaderLines val="1"/>
            <c:extLst>
              <c:ext xmlns:c15="http://schemas.microsoft.com/office/drawing/2012/chart" uri="{CE6537A1-D6FC-4f65-9D91-7224C49458BB}"/>
            </c:extLst>
          </c:dLbls>
          <c:cat>
            <c:multiLvlStrRef>
              <c:f>'RESUMO GERAL'!$I$36:$J$37</c:f>
              <c:multiLvlStrCache>
                <c:ptCount val="2"/>
                <c:lvl>
                  <c:pt idx="0">
                    <c:v>VALOR PLEITEADO</c:v>
                  </c:pt>
                  <c:pt idx="1">
                    <c:v> R$ 100.000,00 </c:v>
                  </c:pt>
                </c:lvl>
                <c:lvl>
                  <c:pt idx="0">
                    <c:v>COBRANÇA MINEIRA</c:v>
                  </c:pt>
                  <c:pt idx="1">
                    <c:v>PDC - 7  Macrodrenagem</c:v>
                  </c:pt>
                </c:lvl>
              </c:multiLvlStrCache>
            </c:multiLvlStrRef>
          </c:cat>
          <c:val>
            <c:numRef>
              <c:f>'RESUMO GERAL'!$J$36:$J$37</c:f>
              <c:numCache>
                <c:formatCode>_-"R$"\ * #,##0.00_-;\-"R$"\ * #,##0.00_-;_-"R$"\ * "-"??_-;_-@_-</c:formatCode>
                <c:ptCount val="2"/>
                <c:pt idx="0" formatCode="General">
                  <c:v>0</c:v>
                </c:pt>
                <c:pt idx="1">
                  <c:v>100000</c:v>
                </c:pt>
              </c:numCache>
            </c:numRef>
          </c:val>
        </c:ser>
      </c:pie3DChart>
      <c:spPr>
        <a:noFill/>
        <a:ln w="25400">
          <a:noFill/>
        </a:ln>
      </c:spPr>
    </c:plotArea>
    <c:legend>
      <c:legendPos val="t"/>
      <c:legendEntry>
        <c:idx val="0"/>
        <c:delete val="1"/>
      </c:legendEntry>
      <c:layout>
        <c:manualLayout>
          <c:xMode val="edge"/>
          <c:yMode val="edge"/>
          <c:x val="3.4165558982520154E-2"/>
          <c:y val="0.22499030647098694"/>
          <c:w val="0.48322286791487451"/>
          <c:h val="7.1877323298704041E-2"/>
        </c:manualLayout>
      </c:layout>
      <c:txPr>
        <a:bodyPr/>
        <a:lstStyle/>
        <a:p>
          <a:pPr>
            <a:defRPr sz="1010" b="1" i="0" u="none" strike="noStrike" baseline="0">
              <a:solidFill>
                <a:srgbClr val="000000"/>
              </a:solidFill>
              <a:latin typeface="Calibri"/>
              <a:ea typeface="Calibri"/>
              <a:cs typeface="Calibri"/>
            </a:defRPr>
          </a:pPr>
          <a:endParaRPr lang="pt-BR"/>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pt-BR"/>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pt-BR"/>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124854646333762E-2"/>
          <c:y val="0.126313062853494"/>
          <c:w val="0.57996162663211936"/>
          <c:h val="0.7223747575031445"/>
        </c:manualLayout>
      </c:layout>
      <c:barChart>
        <c:barDir val="col"/>
        <c:grouping val="stacked"/>
        <c:ser>
          <c:idx val="4"/>
          <c:order val="0"/>
          <c:tx>
            <c:v>Carga Orgânica Doméstica Remanescente - Cenário Plano PCJ (t DBO/dia)</c:v>
          </c:tx>
          <c:spPr>
            <a:solidFill>
              <a:srgbClr val="D99694"/>
            </a:solidFill>
            <a:ln w="25400">
              <a:noFill/>
            </a:ln>
          </c:spPr>
          <c:invertIfNegative val="1"/>
          <c:dPt>
            <c:idx val="7"/>
            <c:invertIfNegative val="1"/>
            <c:spPr>
              <a:solidFill>
                <a:schemeClr val="accent2">
                  <a:lumMod val="40000"/>
                  <a:lumOff val="60000"/>
                </a:schemeClr>
              </a:solidFill>
              <a:ln w="25400">
                <a:noFill/>
              </a:ln>
            </c:spPr>
          </c:dPt>
          <c:cat>
            <c:strRef>
              <c:f>Séries!$A$2:$A$9</c:f>
              <c:strCache>
                <c:ptCount val="8"/>
                <c:pt idx="0">
                  <c:v>2007</c:v>
                </c:pt>
                <c:pt idx="1">
                  <c:v>2008</c:v>
                </c:pt>
                <c:pt idx="2">
                  <c:v>2009</c:v>
                </c:pt>
                <c:pt idx="3">
                  <c:v>2010</c:v>
                </c:pt>
                <c:pt idx="4">
                  <c:v>2011</c:v>
                </c:pt>
                <c:pt idx="5">
                  <c:v>2012</c:v>
                </c:pt>
                <c:pt idx="7">
                  <c:v> 2014 
(Meta Intermediária)</c:v>
                </c:pt>
              </c:strCache>
            </c:strRef>
          </c:cat>
          <c:val>
            <c:numRef>
              <c:f>Séries!$D$14:$D$21</c:f>
              <c:numCache>
                <c:formatCode>#,##0.00</c:formatCode>
                <c:ptCount val="8"/>
                <c:pt idx="0">
                  <c:v>0</c:v>
                </c:pt>
                <c:pt idx="1">
                  <c:v>0</c:v>
                </c:pt>
                <c:pt idx="2">
                  <c:v>0</c:v>
                </c:pt>
                <c:pt idx="3">
                  <c:v>0</c:v>
                </c:pt>
                <c:pt idx="4">
                  <c:v>0</c:v>
                </c:pt>
                <c:pt idx="5">
                  <c:v>0</c:v>
                </c:pt>
                <c:pt idx="6">
                  <c:v>0</c:v>
                </c:pt>
                <c:pt idx="7">
                  <c:v>70903.362133799979</c:v>
                </c:pt>
              </c:numCache>
            </c:numRef>
          </c:val>
          <c:extLst>
            <c:ext xmlns:c14="http://schemas.microsoft.com/office/drawing/2007/8/2/chart" uri="{6F2FDCE9-48DA-4B69-8628-5D25D57E5C99}">
              <c14:invertSolidFillFmt>
                <c14:spPr xmlns:c14="http://schemas.microsoft.com/office/drawing/2007/8/2/chart">
                  <a:solidFill>
                    <a:srgbClr val="FFFFFF"/>
                  </a:solidFill>
                  <a:ln w="25400">
                    <a:noFill/>
                  </a:ln>
                </c14:spPr>
              </c14:invertSolidFillFmt>
            </c:ext>
          </c:extLst>
        </c:ser>
        <c:ser>
          <c:idx val="3"/>
          <c:order val="1"/>
          <c:tx>
            <c:v>Carga Orgânica Doméstica Removida - Cenário Plano PCJ (t DBO/dia)</c:v>
          </c:tx>
          <c:spPr>
            <a:solidFill>
              <a:schemeClr val="tx2">
                <a:lumMod val="20000"/>
                <a:lumOff val="80000"/>
              </a:schemeClr>
            </a:solidFill>
            <a:ln w="31750">
              <a:noFill/>
            </a:ln>
          </c:spPr>
          <c:cat>
            <c:strRef>
              <c:f>Séries!$A$2:$A$9</c:f>
              <c:strCache>
                <c:ptCount val="8"/>
                <c:pt idx="0">
                  <c:v>2007</c:v>
                </c:pt>
                <c:pt idx="1">
                  <c:v>2008</c:v>
                </c:pt>
                <c:pt idx="2">
                  <c:v>2009</c:v>
                </c:pt>
                <c:pt idx="3">
                  <c:v>2010</c:v>
                </c:pt>
                <c:pt idx="4">
                  <c:v>2011</c:v>
                </c:pt>
                <c:pt idx="5">
                  <c:v>2012</c:v>
                </c:pt>
                <c:pt idx="7">
                  <c:v> 2014 
(Meta Intermediária)</c:v>
                </c:pt>
              </c:strCache>
            </c:strRef>
          </c:cat>
          <c:val>
            <c:numRef>
              <c:f>Séries!$C$14:$C$21</c:f>
              <c:numCache>
                <c:formatCode>General</c:formatCode>
                <c:ptCount val="8"/>
                <c:pt idx="7" formatCode="#,##0.00">
                  <c:v>219099.64186619892</c:v>
                </c:pt>
              </c:numCache>
            </c:numRef>
          </c:val>
        </c:ser>
        <c:ser>
          <c:idx val="1"/>
          <c:order val="2"/>
          <c:tx>
            <c:strRef>
              <c:f>Séries!$D$1</c:f>
              <c:strCache>
                <c:ptCount val="1"/>
                <c:pt idx="0">
                  <c:v>Carga Orgânica Doméstica Remanescente (t DBO/dia)</c:v>
                </c:pt>
              </c:strCache>
            </c:strRef>
          </c:tx>
          <c:cat>
            <c:strRef>
              <c:f>Séries!$A$2:$A$9</c:f>
              <c:strCache>
                <c:ptCount val="8"/>
                <c:pt idx="0">
                  <c:v>2007</c:v>
                </c:pt>
                <c:pt idx="1">
                  <c:v>2008</c:v>
                </c:pt>
                <c:pt idx="2">
                  <c:v>2009</c:v>
                </c:pt>
                <c:pt idx="3">
                  <c:v>2010</c:v>
                </c:pt>
                <c:pt idx="4">
                  <c:v>2011</c:v>
                </c:pt>
                <c:pt idx="5">
                  <c:v>2012</c:v>
                </c:pt>
                <c:pt idx="7">
                  <c:v> 2014 
(Meta Intermediária)</c:v>
                </c:pt>
              </c:strCache>
            </c:strRef>
          </c:cat>
          <c:val>
            <c:numRef>
              <c:f>Séries!$D$2:$D$7</c:f>
              <c:numCache>
                <c:formatCode>#,##0.00</c:formatCode>
                <c:ptCount val="6"/>
                <c:pt idx="0">
                  <c:v>137401.07563733781</c:v>
                </c:pt>
                <c:pt idx="1">
                  <c:v>136560.94852336581</c:v>
                </c:pt>
                <c:pt idx="2">
                  <c:v>138016.78311517922</c:v>
                </c:pt>
                <c:pt idx="3">
                  <c:v>133609.591376397</c:v>
                </c:pt>
                <c:pt idx="4">
                  <c:v>123726.99786508337</c:v>
                </c:pt>
                <c:pt idx="5">
                  <c:v>109726.46017524217</c:v>
                </c:pt>
              </c:numCache>
            </c:numRef>
          </c:val>
        </c:ser>
        <c:ser>
          <c:idx val="0"/>
          <c:order val="3"/>
          <c:tx>
            <c:strRef>
              <c:f>Séries!$C$1</c:f>
              <c:strCache>
                <c:ptCount val="1"/>
                <c:pt idx="0">
                  <c:v>Carga Orgânica Doméstica Removida (t DBO/dia)</c:v>
                </c:pt>
              </c:strCache>
            </c:strRef>
          </c:tx>
          <c:cat>
            <c:strRef>
              <c:f>Séries!$A$2:$A$9</c:f>
              <c:strCache>
                <c:ptCount val="8"/>
                <c:pt idx="0">
                  <c:v>2007</c:v>
                </c:pt>
                <c:pt idx="1">
                  <c:v>2008</c:v>
                </c:pt>
                <c:pt idx="2">
                  <c:v>2009</c:v>
                </c:pt>
                <c:pt idx="3">
                  <c:v>2010</c:v>
                </c:pt>
                <c:pt idx="4">
                  <c:v>2011</c:v>
                </c:pt>
                <c:pt idx="5">
                  <c:v>2012</c:v>
                </c:pt>
                <c:pt idx="7">
                  <c:v> 2014 
(Meta Intermediária)</c:v>
                </c:pt>
              </c:strCache>
            </c:strRef>
          </c:cat>
          <c:val>
            <c:numRef>
              <c:f>Séries!$C$2:$C$7</c:f>
              <c:numCache>
                <c:formatCode>#,##0.00</c:formatCode>
                <c:ptCount val="6"/>
                <c:pt idx="0">
                  <c:v>119459.01040266239</c:v>
                </c:pt>
                <c:pt idx="1">
                  <c:v>120308.50651663438</c:v>
                </c:pt>
                <c:pt idx="2">
                  <c:v>122262.27782482075</c:v>
                </c:pt>
                <c:pt idx="3">
                  <c:v>133857.284823603</c:v>
                </c:pt>
                <c:pt idx="4">
                  <c:v>146507.49011491644</c:v>
                </c:pt>
                <c:pt idx="5">
                  <c:v>163443.75130475714</c:v>
                </c:pt>
              </c:numCache>
            </c:numRef>
          </c:val>
        </c:ser>
        <c:overlap val="100"/>
        <c:axId val="119805440"/>
        <c:axId val="119806976"/>
      </c:barChart>
      <c:lineChart>
        <c:grouping val="standard"/>
        <c:ser>
          <c:idx val="2"/>
          <c:order val="4"/>
          <c:tx>
            <c:strRef>
              <c:f>Séries!$E$1</c:f>
              <c:strCache>
                <c:ptCount val="1"/>
                <c:pt idx="0">
                  <c:v>Relação Entre Cargas Remanescente/Potencial (%)</c:v>
                </c:pt>
              </c:strCache>
            </c:strRef>
          </c:tx>
          <c:spPr>
            <a:ln w="31750">
              <a:tailEnd type="triangle"/>
            </a:ln>
          </c:spPr>
          <c:marker>
            <c:symbol val="none"/>
          </c:marker>
          <c:cat>
            <c:strRef>
              <c:f>Séries!$A$2:$A$9</c:f>
              <c:strCache>
                <c:ptCount val="8"/>
                <c:pt idx="0">
                  <c:v>2007</c:v>
                </c:pt>
                <c:pt idx="1">
                  <c:v>2008</c:v>
                </c:pt>
                <c:pt idx="2">
                  <c:v>2009</c:v>
                </c:pt>
                <c:pt idx="3">
                  <c:v>2010</c:v>
                </c:pt>
                <c:pt idx="4">
                  <c:v>2011</c:v>
                </c:pt>
                <c:pt idx="5">
                  <c:v>2012</c:v>
                </c:pt>
                <c:pt idx="7">
                  <c:v> 2014 
(Meta Intermediária)</c:v>
                </c:pt>
              </c:strCache>
            </c:strRef>
          </c:cat>
          <c:val>
            <c:numRef>
              <c:f>Séries!$E$2:$E$9</c:f>
              <c:numCache>
                <c:formatCode>0.00%</c:formatCode>
                <c:ptCount val="8"/>
                <c:pt idx="0">
                  <c:v>0.53492575571254997</c:v>
                </c:pt>
                <c:pt idx="1">
                  <c:v>0.53163560650720565</c:v>
                </c:pt>
                <c:pt idx="2">
                  <c:v>0.53026464217571123</c:v>
                </c:pt>
                <c:pt idx="3">
                  <c:v>0.49953696425755117</c:v>
                </c:pt>
                <c:pt idx="4">
                  <c:v>0.45785050897811602</c:v>
                </c:pt>
                <c:pt idx="5">
                  <c:v>0.401677985241363</c:v>
                </c:pt>
                <c:pt idx="6">
                  <c:v>0.32308490241443277</c:v>
                </c:pt>
                <c:pt idx="7">
                  <c:v>0.24449181958749952</c:v>
                </c:pt>
              </c:numCache>
            </c:numRef>
          </c:val>
        </c:ser>
        <c:marker val="1"/>
        <c:axId val="119818880"/>
        <c:axId val="119817344"/>
      </c:lineChart>
      <c:catAx>
        <c:axId val="119805440"/>
        <c:scaling>
          <c:orientation val="minMax"/>
        </c:scaling>
        <c:axPos val="b"/>
        <c:numFmt formatCode="General" sourceLinked="1"/>
        <c:tickLblPos val="nextTo"/>
        <c:txPr>
          <a:bodyPr rot="0" vert="horz"/>
          <a:lstStyle/>
          <a:p>
            <a:pPr>
              <a:defRPr/>
            </a:pPr>
            <a:endParaRPr lang="pt-BR"/>
          </a:p>
        </c:txPr>
        <c:crossAx val="119806976"/>
        <c:crosses val="autoZero"/>
        <c:auto val="1"/>
        <c:lblAlgn val="ctr"/>
        <c:lblOffset val="100"/>
      </c:catAx>
      <c:valAx>
        <c:axId val="119806976"/>
        <c:scaling>
          <c:orientation val="minMax"/>
          <c:max val="300000"/>
          <c:min val="0"/>
        </c:scaling>
        <c:axPos val="l"/>
        <c:majorGridlines/>
        <c:numFmt formatCode="#,##0" sourceLinked="0"/>
        <c:tickLblPos val="nextTo"/>
        <c:txPr>
          <a:bodyPr rot="0" vert="horz"/>
          <a:lstStyle/>
          <a:p>
            <a:pPr>
              <a:defRPr/>
            </a:pPr>
            <a:endParaRPr lang="pt-BR"/>
          </a:p>
        </c:txPr>
        <c:crossAx val="119805440"/>
        <c:crosses val="autoZero"/>
        <c:crossBetween val="between"/>
        <c:dispUnits>
          <c:builtInUnit val="thousands"/>
          <c:dispUnitsLbl>
            <c:layout>
              <c:manualLayout>
                <c:xMode val="edge"/>
                <c:yMode val="edge"/>
                <c:x val="1.1988011988011991E-2"/>
                <c:y val="0.4281586328295634"/>
              </c:manualLayout>
            </c:layout>
            <c:tx>
              <c:rich>
                <a:bodyPr/>
                <a:lstStyle/>
                <a:p>
                  <a:pPr>
                    <a:defRPr/>
                  </a:pPr>
                  <a:r>
                    <a:rPr lang="pt-BR"/>
                    <a:t>Toneladas DBO/dia</a:t>
                  </a:r>
                </a:p>
              </c:rich>
            </c:tx>
          </c:dispUnitsLbl>
        </c:dispUnits>
      </c:valAx>
      <c:valAx>
        <c:axId val="119817344"/>
        <c:scaling>
          <c:orientation val="minMax"/>
          <c:max val="1"/>
        </c:scaling>
        <c:axPos val="r"/>
        <c:numFmt formatCode="0%" sourceLinked="0"/>
        <c:tickLblPos val="nextTo"/>
        <c:crossAx val="119818880"/>
        <c:crosses val="max"/>
        <c:crossBetween val="between"/>
      </c:valAx>
      <c:catAx>
        <c:axId val="119818880"/>
        <c:scaling>
          <c:orientation val="minMax"/>
        </c:scaling>
        <c:delete val="1"/>
        <c:axPos val="b"/>
        <c:numFmt formatCode="General" sourceLinked="1"/>
        <c:tickLblPos val="none"/>
        <c:crossAx val="119817344"/>
        <c:crosses val="autoZero"/>
        <c:auto val="1"/>
        <c:lblAlgn val="ctr"/>
        <c:lblOffset val="100"/>
      </c:catAx>
    </c:plotArea>
    <c:legend>
      <c:legendPos val="r"/>
      <c:layout>
        <c:manualLayout>
          <c:xMode val="edge"/>
          <c:yMode val="edge"/>
          <c:x val="0.72960829263431637"/>
          <c:y val="0.17185667009015168"/>
          <c:w val="0.2603634672248295"/>
          <c:h val="0.62819582334818214"/>
        </c:manualLayout>
      </c:layout>
    </c:legend>
    <c:plotVisOnly val="1"/>
    <c:dispBlanksAs val="gap"/>
  </c:chart>
  <c:spPr>
    <a:ln>
      <a:noFill/>
    </a:ln>
  </c:spPr>
  <c:txPr>
    <a:bodyPr/>
    <a:lstStyle/>
    <a:p>
      <a:pPr>
        <a:defRPr sz="800"/>
      </a:pPr>
      <a:endParaRPr lang="pt-BR"/>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pt-BR"/>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9325692712747989E-2"/>
          <c:y val="4.0893258508432333E-2"/>
          <c:w val="0.74682193586956591"/>
          <c:h val="0.86683545772248594"/>
        </c:manualLayout>
      </c:layout>
      <c:barChart>
        <c:barDir val="col"/>
        <c:grouping val="stacked"/>
        <c:ser>
          <c:idx val="0"/>
          <c:order val="0"/>
          <c:tx>
            <c:strRef>
              <c:f>'IQA série histórica'!$V$20:$W$20</c:f>
              <c:strCache>
                <c:ptCount val="1"/>
                <c:pt idx="0">
                  <c:v>80-100 (Ótimo)</c:v>
                </c:pt>
              </c:strCache>
            </c:strRef>
          </c:tx>
          <c:spPr>
            <a:solidFill>
              <a:srgbClr val="00B0F0"/>
            </a:solidFill>
          </c:spPr>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dLbl>
              <c:idx val="6"/>
              <c:delete val="1"/>
              <c:extLst>
                <c:ext xmlns:c15="http://schemas.microsoft.com/office/drawing/2012/chart" uri="{CE6537A1-D6FC-4f65-9D91-7224C49458BB}"/>
              </c:extLst>
            </c:dLbl>
            <c:dLbl>
              <c:idx val="7"/>
              <c:delete val="1"/>
              <c:extLst>
                <c:ext xmlns:c15="http://schemas.microsoft.com/office/drawing/2012/chart" uri="{CE6537A1-D6FC-4f65-9D91-7224C49458BB}"/>
              </c:extLst>
            </c:dLbl>
            <c:dLbl>
              <c:idx val="8"/>
              <c:delete val="1"/>
              <c:extLst>
                <c:ext xmlns:c15="http://schemas.microsoft.com/office/drawing/2012/chart" uri="{CE6537A1-D6FC-4f65-9D91-7224C49458BB}"/>
              </c:extLst>
            </c:dLbl>
            <c:dLbl>
              <c:idx val="9"/>
              <c:delete val="1"/>
              <c:extLst>
                <c:ext xmlns:c15="http://schemas.microsoft.com/office/drawing/2012/chart" uri="{CE6537A1-D6FC-4f65-9D91-7224C49458BB}"/>
              </c:extLst>
            </c:dLbl>
            <c:dLbl>
              <c:idx val="10"/>
              <c:layout>
                <c:manualLayout>
                  <c:x val="0"/>
                  <c:y val="-1.1049723756906094E-2"/>
                </c:manualLayout>
              </c:layout>
              <c:dLblPos val="ctr"/>
              <c:showVal val="1"/>
              <c:extLst>
                <c:ext xmlns:c15="http://schemas.microsoft.com/office/drawing/2012/chart" uri="{CE6537A1-D6FC-4f65-9D91-7224C49458BB}">
                  <c15:layout/>
                </c:ext>
              </c:extLst>
            </c:dLbl>
            <c:dLbl>
              <c:idx val="11"/>
              <c:layout>
                <c:manualLayout>
                  <c:x val="0"/>
                  <c:y val="-1.4732965009208105E-2"/>
                </c:manualLayout>
              </c:layout>
              <c:dLblPos val="ctr"/>
              <c:showVal val="1"/>
              <c:extLst>
                <c:ext xmlns:c15="http://schemas.microsoft.com/office/drawing/2012/chart" uri="{CE6537A1-D6FC-4f65-9D91-7224C49458BB}">
                  <c15:layout/>
                </c:ext>
              </c:extLst>
            </c:dLbl>
            <c:spPr>
              <a:noFill/>
              <a:ln>
                <a:noFill/>
              </a:ln>
              <a:effectLst/>
            </c:spPr>
            <c:dLblPos val="ctr"/>
            <c:showVal val="1"/>
            <c:extLst>
              <c:ext xmlns:c15="http://schemas.microsoft.com/office/drawing/2012/chart" uri="{CE6537A1-D6FC-4f65-9D91-7224C49458BB}">
                <c15:layout/>
                <c15:showLeaderLines val="0"/>
              </c:ext>
            </c:extLst>
          </c:dLbls>
          <c:cat>
            <c:numRef>
              <c:f>'IQA série histórica'!$X$19:$AJ$19</c:f>
              <c:numCache>
                <c:formatCode>0</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'IQA série histórica'!$X$20:$AJ$20</c:f>
              <c:numCache>
                <c:formatCode>0%</c:formatCode>
                <c:ptCount val="13"/>
                <c:pt idx="0">
                  <c:v>0</c:v>
                </c:pt>
                <c:pt idx="1">
                  <c:v>4.545454545454547E-2</c:v>
                </c:pt>
                <c:pt idx="2">
                  <c:v>4.545454545454547E-2</c:v>
                </c:pt>
                <c:pt idx="3">
                  <c:v>0</c:v>
                </c:pt>
                <c:pt idx="4">
                  <c:v>0</c:v>
                </c:pt>
                <c:pt idx="5">
                  <c:v>0</c:v>
                </c:pt>
                <c:pt idx="6">
                  <c:v>0</c:v>
                </c:pt>
                <c:pt idx="7">
                  <c:v>0</c:v>
                </c:pt>
                <c:pt idx="8">
                  <c:v>0</c:v>
                </c:pt>
                <c:pt idx="9">
                  <c:v>0</c:v>
                </c:pt>
                <c:pt idx="10">
                  <c:v>1.1904761904761923E-2</c:v>
                </c:pt>
                <c:pt idx="11">
                  <c:v>1.1904761904761923E-2</c:v>
                </c:pt>
                <c:pt idx="12">
                  <c:v>3.5714285714285712E-2</c:v>
                </c:pt>
              </c:numCache>
            </c:numRef>
          </c:val>
        </c:ser>
        <c:ser>
          <c:idx val="1"/>
          <c:order val="1"/>
          <c:tx>
            <c:strRef>
              <c:f>'IQA série histórica'!$V$21:$W$21</c:f>
              <c:strCache>
                <c:ptCount val="1"/>
                <c:pt idx="0">
                  <c:v>52-79 (Bom)</c:v>
                </c:pt>
              </c:strCache>
            </c:strRef>
          </c:tx>
          <c:spPr>
            <a:solidFill>
              <a:srgbClr val="92D050"/>
            </a:solidFill>
          </c:spPr>
          <c:dLbls>
            <c:spPr>
              <a:noFill/>
              <a:ln>
                <a:noFill/>
              </a:ln>
              <a:effectLst/>
            </c:spPr>
            <c:showVal val="1"/>
            <c:extLst>
              <c:ext xmlns:c15="http://schemas.microsoft.com/office/drawing/2012/chart" uri="{CE6537A1-D6FC-4f65-9D91-7224C49458BB}">
                <c15:layout/>
                <c15:showLeaderLines val="0"/>
              </c:ext>
            </c:extLst>
          </c:dLbls>
          <c:cat>
            <c:numRef>
              <c:f>'IQA série histórica'!$X$19:$AJ$19</c:f>
              <c:numCache>
                <c:formatCode>0</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'IQA série histórica'!$X$21:$AJ$21</c:f>
              <c:numCache>
                <c:formatCode>0%</c:formatCode>
                <c:ptCount val="13"/>
                <c:pt idx="0">
                  <c:v>0.35000000000000031</c:v>
                </c:pt>
                <c:pt idx="1">
                  <c:v>0.36363636363636381</c:v>
                </c:pt>
                <c:pt idx="2">
                  <c:v>0.31818181818182045</c:v>
                </c:pt>
                <c:pt idx="3">
                  <c:v>0.36363636363636381</c:v>
                </c:pt>
                <c:pt idx="4">
                  <c:v>0.31818181818182045</c:v>
                </c:pt>
                <c:pt idx="5">
                  <c:v>0.39130434782608997</c:v>
                </c:pt>
                <c:pt idx="6">
                  <c:v>0.43478260869565577</c:v>
                </c:pt>
                <c:pt idx="7">
                  <c:v>0.39393939393939692</c:v>
                </c:pt>
                <c:pt idx="8">
                  <c:v>0.40540540540540548</c:v>
                </c:pt>
                <c:pt idx="9">
                  <c:v>0.30379746835443239</c:v>
                </c:pt>
                <c:pt idx="10">
                  <c:v>0.4642857142857143</c:v>
                </c:pt>
                <c:pt idx="11">
                  <c:v>0.5</c:v>
                </c:pt>
                <c:pt idx="12">
                  <c:v>0.54761904761905211</c:v>
                </c:pt>
              </c:numCache>
            </c:numRef>
          </c:val>
        </c:ser>
        <c:ser>
          <c:idx val="2"/>
          <c:order val="2"/>
          <c:tx>
            <c:strRef>
              <c:f>'IQA série histórica'!$V$22:$W$22</c:f>
              <c:strCache>
                <c:ptCount val="1"/>
                <c:pt idx="0">
                  <c:v>37-51 (Regular)</c:v>
                </c:pt>
              </c:strCache>
            </c:strRef>
          </c:tx>
          <c:spPr>
            <a:solidFill>
              <a:srgbClr val="FFFF00"/>
            </a:solidFill>
          </c:spPr>
          <c:dLbls>
            <c:spPr>
              <a:noFill/>
              <a:ln>
                <a:noFill/>
              </a:ln>
              <a:effectLst/>
            </c:spPr>
            <c:showVal val="1"/>
            <c:extLst>
              <c:ext xmlns:c15="http://schemas.microsoft.com/office/drawing/2012/chart" uri="{CE6537A1-D6FC-4f65-9D91-7224C49458BB}">
                <c15:layout/>
                <c15:showLeaderLines val="0"/>
              </c:ext>
            </c:extLst>
          </c:dLbls>
          <c:cat>
            <c:numRef>
              <c:f>'IQA série histórica'!$X$19:$AJ$19</c:f>
              <c:numCache>
                <c:formatCode>0</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'IQA série histórica'!$X$22:$AJ$22</c:f>
              <c:numCache>
                <c:formatCode>0%</c:formatCode>
                <c:ptCount val="13"/>
                <c:pt idx="0">
                  <c:v>0.4</c:v>
                </c:pt>
                <c:pt idx="1">
                  <c:v>0.36363636363636381</c:v>
                </c:pt>
                <c:pt idx="2">
                  <c:v>0.36363636363636381</c:v>
                </c:pt>
                <c:pt idx="3">
                  <c:v>0.27272727272727282</c:v>
                </c:pt>
                <c:pt idx="4">
                  <c:v>0.59090909090909105</c:v>
                </c:pt>
                <c:pt idx="5">
                  <c:v>0.26086956521739385</c:v>
                </c:pt>
                <c:pt idx="6">
                  <c:v>0.34782608695652406</c:v>
                </c:pt>
                <c:pt idx="7">
                  <c:v>0.39393939393939692</c:v>
                </c:pt>
                <c:pt idx="8">
                  <c:v>0.45945945945945948</c:v>
                </c:pt>
                <c:pt idx="9">
                  <c:v>0.44303797468354433</c:v>
                </c:pt>
                <c:pt idx="10">
                  <c:v>0.32142857142857589</c:v>
                </c:pt>
                <c:pt idx="11">
                  <c:v>0.30000000000000032</c:v>
                </c:pt>
                <c:pt idx="12">
                  <c:v>0.23809523809523994</c:v>
                </c:pt>
              </c:numCache>
            </c:numRef>
          </c:val>
        </c:ser>
        <c:ser>
          <c:idx val="3"/>
          <c:order val="3"/>
          <c:tx>
            <c:strRef>
              <c:f>'IQA série histórica'!$V$23:$W$23</c:f>
              <c:strCache>
                <c:ptCount val="1"/>
                <c:pt idx="0">
                  <c:v>20-36 (Ruim)</c:v>
                </c:pt>
              </c:strCache>
            </c:strRef>
          </c:tx>
          <c:spPr>
            <a:solidFill>
              <a:srgbClr val="FF0000"/>
            </a:solidFill>
          </c:spPr>
          <c:dLbls>
            <c:spPr>
              <a:noFill/>
              <a:ln>
                <a:noFill/>
              </a:ln>
              <a:effectLst/>
            </c:spPr>
            <c:showVal val="1"/>
            <c:extLst>
              <c:ext xmlns:c15="http://schemas.microsoft.com/office/drawing/2012/chart" uri="{CE6537A1-D6FC-4f65-9D91-7224C49458BB}">
                <c15:layout/>
                <c15:showLeaderLines val="0"/>
              </c:ext>
            </c:extLst>
          </c:dLbls>
          <c:cat>
            <c:numRef>
              <c:f>'IQA série histórica'!$X$19:$AJ$19</c:f>
              <c:numCache>
                <c:formatCode>0</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'IQA série histórica'!$X$23:$AJ$23</c:f>
              <c:numCache>
                <c:formatCode>0%</c:formatCode>
                <c:ptCount val="13"/>
                <c:pt idx="0">
                  <c:v>0.25</c:v>
                </c:pt>
                <c:pt idx="1">
                  <c:v>0.18181818181818346</c:v>
                </c:pt>
                <c:pt idx="2">
                  <c:v>0.27272727272727282</c:v>
                </c:pt>
                <c:pt idx="3">
                  <c:v>0.31818181818182045</c:v>
                </c:pt>
                <c:pt idx="4">
                  <c:v>9.090909090909112E-2</c:v>
                </c:pt>
                <c:pt idx="5">
                  <c:v>0.30434782608695682</c:v>
                </c:pt>
                <c:pt idx="6">
                  <c:v>0.21739130434782791</c:v>
                </c:pt>
                <c:pt idx="7">
                  <c:v>0.21212121212121221</c:v>
                </c:pt>
                <c:pt idx="8">
                  <c:v>0.13513513513513623</c:v>
                </c:pt>
                <c:pt idx="9">
                  <c:v>0.21518987341772194</c:v>
                </c:pt>
                <c:pt idx="10">
                  <c:v>0.20238095238095238</c:v>
                </c:pt>
                <c:pt idx="11">
                  <c:v>0.18000000000000024</c:v>
                </c:pt>
                <c:pt idx="12">
                  <c:v>0.17857142857143024</c:v>
                </c:pt>
              </c:numCache>
            </c:numRef>
          </c:val>
        </c:ser>
        <c:ser>
          <c:idx val="4"/>
          <c:order val="4"/>
          <c:tx>
            <c:strRef>
              <c:f>'IQA série histórica'!$V$24:$W$24</c:f>
              <c:strCache>
                <c:ptCount val="1"/>
                <c:pt idx="0">
                  <c:v>&lt;19 (Péssimo)</c:v>
                </c:pt>
              </c:strCache>
            </c:strRef>
          </c:tx>
          <c:spPr>
            <a:solidFill>
              <a:schemeClr val="accent4">
                <a:lumMod val="60000"/>
                <a:lumOff val="40000"/>
              </a:schemeClr>
            </a:solidFill>
          </c:spPr>
          <c:dLbls>
            <c:dLbl>
              <c:idx val="0"/>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6"/>
              <c:delete val="1"/>
              <c:extLst>
                <c:ext xmlns:c15="http://schemas.microsoft.com/office/drawing/2012/chart" uri="{CE6537A1-D6FC-4f65-9D91-7224C49458BB}"/>
              </c:extLst>
            </c:dLbl>
            <c:dLbl>
              <c:idx val="7"/>
              <c:delete val="1"/>
              <c:extLst>
                <c:ext xmlns:c15="http://schemas.microsoft.com/office/drawing/2012/chart" uri="{CE6537A1-D6FC-4f65-9D91-7224C49458BB}"/>
              </c:extLst>
            </c:dLbl>
            <c:dLbl>
              <c:idx val="8"/>
              <c:delete val="1"/>
              <c:extLst>
                <c:ext xmlns:c15="http://schemas.microsoft.com/office/drawing/2012/chart" uri="{CE6537A1-D6FC-4f65-9D91-7224C49458BB}"/>
              </c:extLst>
            </c:dLbl>
            <c:dLbl>
              <c:idx val="10"/>
              <c:delete val="1"/>
              <c:extLst>
                <c:ext xmlns:c15="http://schemas.microsoft.com/office/drawing/2012/chart" uri="{CE6537A1-D6FC-4f65-9D91-7224C49458BB}"/>
              </c:extLst>
            </c:dLbl>
            <c:dLbl>
              <c:idx val="11"/>
              <c:layout>
                <c:manualLayout>
                  <c:x val="2.0800832033281346E-3"/>
                  <c:y val="1.1049723756906094E-2"/>
                </c:manualLayout>
              </c:layout>
              <c:dLblPos val="ctr"/>
              <c:showVal val="1"/>
              <c:extLst>
                <c:ext xmlns:c15="http://schemas.microsoft.com/office/drawing/2012/chart" uri="{CE6537A1-D6FC-4f65-9D91-7224C49458BB}">
                  <c15:layout/>
                </c:ext>
              </c:extLst>
            </c:dLbl>
            <c:dLbl>
              <c:idx val="12"/>
              <c:delete val="1"/>
              <c:extLst>
                <c:ext xmlns:c15="http://schemas.microsoft.com/office/drawing/2012/chart" uri="{CE6537A1-D6FC-4f65-9D91-7224C49458BB}"/>
              </c:extLst>
            </c:dLbl>
            <c:spPr>
              <a:noFill/>
              <a:ln>
                <a:noFill/>
              </a:ln>
              <a:effectLst/>
            </c:spPr>
            <c:dLblPos val="ctr"/>
            <c:showVal val="1"/>
            <c:extLst>
              <c:ext xmlns:c15="http://schemas.microsoft.com/office/drawing/2012/chart" uri="{CE6537A1-D6FC-4f65-9D91-7224C49458BB}">
                <c15:layout/>
                <c15:showLeaderLines val="0"/>
              </c:ext>
            </c:extLst>
          </c:dLbls>
          <c:cat>
            <c:numRef>
              <c:f>'IQA série histórica'!$X$19:$AJ$19</c:f>
              <c:numCache>
                <c:formatCode>0</c:formatCod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numCache>
            </c:numRef>
          </c:cat>
          <c:val>
            <c:numRef>
              <c:f>'IQA série histórica'!$X$24:$AJ$24</c:f>
              <c:numCache>
                <c:formatCode>0%</c:formatCode>
                <c:ptCount val="13"/>
                <c:pt idx="0">
                  <c:v>0</c:v>
                </c:pt>
                <c:pt idx="1">
                  <c:v>4.545454545454547E-2</c:v>
                </c:pt>
                <c:pt idx="2">
                  <c:v>0</c:v>
                </c:pt>
                <c:pt idx="3">
                  <c:v>4.545454545454547E-2</c:v>
                </c:pt>
                <c:pt idx="4">
                  <c:v>0</c:v>
                </c:pt>
                <c:pt idx="5">
                  <c:v>4.3478260869565223E-2</c:v>
                </c:pt>
                <c:pt idx="6">
                  <c:v>0</c:v>
                </c:pt>
                <c:pt idx="7">
                  <c:v>0</c:v>
                </c:pt>
                <c:pt idx="8">
                  <c:v>0</c:v>
                </c:pt>
                <c:pt idx="9">
                  <c:v>3.7974683544303812E-2</c:v>
                </c:pt>
                <c:pt idx="10">
                  <c:v>0</c:v>
                </c:pt>
                <c:pt idx="11">
                  <c:v>1.1904761904761923E-2</c:v>
                </c:pt>
                <c:pt idx="12">
                  <c:v>0</c:v>
                </c:pt>
              </c:numCache>
            </c:numRef>
          </c:val>
        </c:ser>
        <c:dLbls>
          <c:showVal val="1"/>
        </c:dLbls>
        <c:gapWidth val="48"/>
        <c:overlap val="100"/>
        <c:axId val="120056832"/>
        <c:axId val="120718080"/>
      </c:barChart>
      <c:catAx>
        <c:axId val="120056832"/>
        <c:scaling>
          <c:orientation val="minMax"/>
        </c:scaling>
        <c:axPos val="b"/>
        <c:numFmt formatCode="0" sourceLinked="1"/>
        <c:tickLblPos val="nextTo"/>
        <c:txPr>
          <a:bodyPr rot="0"/>
          <a:lstStyle/>
          <a:p>
            <a:pPr>
              <a:defRPr/>
            </a:pPr>
            <a:endParaRPr lang="pt-BR"/>
          </a:p>
        </c:txPr>
        <c:crossAx val="120718080"/>
        <c:crosses val="autoZero"/>
        <c:auto val="1"/>
        <c:lblAlgn val="ctr"/>
        <c:lblOffset val="100"/>
      </c:catAx>
      <c:valAx>
        <c:axId val="120718080"/>
        <c:scaling>
          <c:orientation val="minMax"/>
          <c:max val="1"/>
        </c:scaling>
        <c:axPos val="l"/>
        <c:majorGridlines/>
        <c:numFmt formatCode="0%" sourceLinked="1"/>
        <c:tickLblPos val="nextTo"/>
        <c:crossAx val="120056832"/>
        <c:crosses val="autoZero"/>
        <c:crossBetween val="between"/>
      </c:valAx>
    </c:plotArea>
    <c:legend>
      <c:legendPos val="r"/>
      <c:layout>
        <c:manualLayout>
          <c:xMode val="edge"/>
          <c:yMode val="edge"/>
          <c:x val="0.8323878781922931"/>
          <c:y val="0.33349052362930126"/>
          <c:w val="0.15929178899439647"/>
          <c:h val="0.33301866272241426"/>
        </c:manualLayout>
      </c:layout>
    </c:legend>
    <c:plotVisOnly val="1"/>
    <c:dispBlanksAs val="gap"/>
  </c:chart>
  <c:spPr>
    <a:ln>
      <a:noFill/>
    </a:ln>
  </c:spPr>
  <c:txPr>
    <a:bodyPr/>
    <a:lstStyle/>
    <a:p>
      <a:pPr>
        <a:defRPr sz="800" b="0"/>
      </a:pPr>
      <a:endParaRPr lang="pt-BR"/>
    </a:p>
  </c:txPr>
  <c:externalData r:id="rId2"/>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7F163-41EC-48EA-B2C5-4B2327AA0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30</Pages>
  <Words>5750</Words>
  <Characters>31051</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dc:creator>
  <cp:lastModifiedBy>Lilian</cp:lastModifiedBy>
  <cp:revision>38</cp:revision>
  <cp:lastPrinted>2014-05-27T14:11:00Z</cp:lastPrinted>
  <dcterms:created xsi:type="dcterms:W3CDTF">2014-04-24T13:43:00Z</dcterms:created>
  <dcterms:modified xsi:type="dcterms:W3CDTF">2014-06-02T12:12:00Z</dcterms:modified>
</cp:coreProperties>
</file>